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30" w:rsidRDefault="00341A30" w:rsidP="00341A30">
      <w:pPr>
        <w:widowControl/>
        <w:spacing w:line="302" w:lineRule="atLeast"/>
        <w:jc w:val="center"/>
        <w:rPr>
          <w:rFonts w:ascii="宋体" w:eastAsia="宋体" w:hAnsi="宋体" w:cs="宋体"/>
          <w:color w:val="000000"/>
          <w:kern w:val="0"/>
          <w:sz w:val="22"/>
        </w:rPr>
      </w:pPr>
      <w:r w:rsidRPr="00617AD1">
        <w:rPr>
          <w:rFonts w:ascii="宋体" w:eastAsia="宋体" w:hAnsi="宋体" w:cs="宋体" w:hint="eastAsia"/>
          <w:color w:val="000000"/>
          <w:kern w:val="0"/>
          <w:sz w:val="22"/>
        </w:rPr>
        <w:t>表1  2015年省重点研发计划主动设计项目清单</w:t>
      </w:r>
    </w:p>
    <w:p w:rsidR="00341A30" w:rsidRPr="00617AD1" w:rsidRDefault="00341A30" w:rsidP="00341A30">
      <w:pPr>
        <w:widowControl/>
        <w:spacing w:line="302" w:lineRule="atLeast"/>
        <w:jc w:val="center"/>
        <w:rPr>
          <w:rFonts w:ascii="Verdana" w:eastAsia="宋体" w:hAnsi="Verdana" w:cs="宋体"/>
          <w:color w:val="000000"/>
          <w:kern w:val="0"/>
          <w:sz w:val="17"/>
          <w:szCs w:val="17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2414"/>
        <w:gridCol w:w="6800"/>
      </w:tblGrid>
      <w:tr w:rsidR="00341A30" w:rsidRPr="00617AD1" w:rsidTr="00DB24CF">
        <w:trPr>
          <w:trHeight w:val="426"/>
          <w:jc w:val="center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专项名称</w:t>
            </w:r>
          </w:p>
        </w:tc>
        <w:tc>
          <w:tcPr>
            <w:tcW w:w="6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石墨烯应用研究专项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石墨烯导电剂在高能量密度动力锂电池中应用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 长寿命石墨烯基铅炭超级电池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3．海洋工程装备用石墨烯重防腐涂料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4．高强石墨烯纤维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 低成本石墨烯透明导电薄膜及其在柔性液晶显示器件中应用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工业机器人核心功能部件设计与制造技术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 工业机器人整机集成关键技术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 典型机械零部件加工制造机器人设计及应用技术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 特种机加工机器人设计及应用技术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 物品传输工业机器人智能生产线设计与集成技术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 传统制造产业机器人装配线设计与集成技术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 智能装备系统融合设计及应用技术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3D打印专项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三维打印关键材料制备技术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 三维打印工艺与过程控制技术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大数据应用专项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1．大数据处理与分析共性关键技术研究与基础平台研发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2．大数据驱动的行业知识图谱及个性化推荐技术研究与应用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3．基于大数据的公用事业管理平台与应用示范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4．基于大数据的新型文化创新服务系统研发及应用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5．电子政务综合大数据平台技术研究与应用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量子通信专项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1．量子通信密钥分配核心设备开发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2．量子通信接入系统的兼容性研究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3．量子加密与经典加密融合技术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4．大规模量子通信组网技术研究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5．商用量子通信网络的应用研究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农村信息化研究示范专项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1．农村信息化综合信息服务平台技术研发与应用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2．现代农业信息服务系统技术研发与应用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3．现代农业气象系统技术研发与应用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4．农村民生信息服务系统技术研发与应用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5．农产品电子商务平台技术研发与应用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 农产品质量安全追溯系统技术研发与应用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五水共治技术专项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河道水质强化净化与水生态修复技术集成与工程示范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 河道生态护岸关键技术研发与工程示范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 河道底泥减量化资源化利用技术集成与工程示范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 河道治理与维护的智能化管理及长效运行机制研究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 农村污水简约化处理工艺与管理技术集成示范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 水产养殖废水污染综合控制技术集成模式与示范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 畜禽养殖废水处理提标改造与资源化利用技术研究及示范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 畜禽排泄物污染源评估及风险控制技术研究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 入海河口区流域洪水与风暴潮耦合实时预报技术与示范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10.滨海平原河网地区城镇洪涝实时预报调度技术与示范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土壤污染控制与修复技术专项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有机污染场地/土壤快速修复集成技术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 农田土壤重金属污染生态修复与安全利用技术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 非正规垃圾填埋场灾害治理及污染防控技术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浙江传统文化再创新与产业化技术研究</w:t>
            </w:r>
          </w:p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无酸化书画用纸工艺关键技术开发与产业化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D1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Arial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2. 龙泉青瓷宋代薄胎厚釉工艺关键技术研究与应用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D1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Arial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 丝绸织品分析检测关键技术研究与应用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D1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Arial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4. 传统文化产品数字化工艺再现与创新设计技术研究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智能舞台关键技术研究与产业化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模块化智能组合舞台关键技术研究与产业化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 智能舞台声光电系统关键技术研究与产业化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D1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Arial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3. 支持高效协同制作的虚拟预演排练关键技术研究与产业化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浙江参与“一带一路”战略科技合作专项</w:t>
            </w: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 联合技术研发与示范推广项目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 联合共建研究中心或实验室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 联合共建国际技术转移机构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A30" w:rsidRPr="00617AD1" w:rsidRDefault="00341A30" w:rsidP="00DB24C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 联合共建科技或创新园区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26县绿色技术应用专项</w:t>
            </w:r>
          </w:p>
        </w:tc>
      </w:tr>
      <w:tr w:rsidR="00341A30" w:rsidRPr="00617AD1" w:rsidTr="00DB24CF">
        <w:trPr>
          <w:trHeight w:val="498"/>
          <w:jc w:val="center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30" w:rsidRPr="00617AD1" w:rsidRDefault="00341A30" w:rsidP="00DB24CF">
            <w:pPr>
              <w:widowControl/>
              <w:spacing w:line="302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61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浙江省科技项目全流程管理系统开发与应用</w:t>
            </w:r>
          </w:p>
        </w:tc>
      </w:tr>
    </w:tbl>
    <w:p w:rsidR="00341A30" w:rsidRPr="009625FE" w:rsidRDefault="00341A30" w:rsidP="00341A30">
      <w:pPr>
        <w:widowControl/>
        <w:spacing w:line="302" w:lineRule="atLeast"/>
        <w:ind w:firstLine="440"/>
        <w:jc w:val="left"/>
        <w:rPr>
          <w:rFonts w:ascii="Verdana" w:eastAsia="宋体" w:hAnsi="Verdana" w:cs="Arial"/>
          <w:color w:val="FF0000"/>
          <w:kern w:val="0"/>
          <w:sz w:val="17"/>
          <w:szCs w:val="17"/>
        </w:rPr>
      </w:pPr>
      <w:r w:rsidRPr="009625FE">
        <w:rPr>
          <w:rFonts w:ascii="宋体" w:eastAsia="宋体" w:hAnsi="宋体" w:cs="Arial" w:hint="eastAsia"/>
          <w:color w:val="FF0000"/>
          <w:kern w:val="0"/>
          <w:sz w:val="22"/>
        </w:rPr>
        <w:t>上述主动设计项目通过面向社会公开征集的方式组织申报。对照主动设计项目主要研发内容和实施目标，有能力解决附件所列技术问题和实施目标的高等学校、科研院所、企业或产学研合作的联合体，符合项目申报条件的均可进行申报。</w:t>
      </w:r>
    </w:p>
    <w:p w:rsidR="00F12BEF" w:rsidRPr="00341A30" w:rsidRDefault="00F12BEF"/>
    <w:sectPr w:rsidR="00F12BEF" w:rsidRPr="00341A30" w:rsidSect="00FA5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BD" w:rsidRDefault="00FC31BD" w:rsidP="00341A30">
      <w:r>
        <w:separator/>
      </w:r>
    </w:p>
  </w:endnote>
  <w:endnote w:type="continuationSeparator" w:id="1">
    <w:p w:rsidR="00FC31BD" w:rsidRDefault="00FC31BD" w:rsidP="0034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BD" w:rsidRDefault="00FC31BD" w:rsidP="00341A30">
      <w:r>
        <w:separator/>
      </w:r>
    </w:p>
  </w:footnote>
  <w:footnote w:type="continuationSeparator" w:id="1">
    <w:p w:rsidR="00FC31BD" w:rsidRDefault="00FC31BD" w:rsidP="00341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A30"/>
    <w:rsid w:val="00341A30"/>
    <w:rsid w:val="009625FE"/>
    <w:rsid w:val="00F12BEF"/>
    <w:rsid w:val="00FA5750"/>
    <w:rsid w:val="00FC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A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4</cp:revision>
  <dcterms:created xsi:type="dcterms:W3CDTF">2015-07-01T05:20:00Z</dcterms:created>
  <dcterms:modified xsi:type="dcterms:W3CDTF">2015-07-01T05:39:00Z</dcterms:modified>
</cp:coreProperties>
</file>