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30"/>
          <w:szCs w:val="30"/>
        </w:rPr>
      </w:pPr>
      <w:r>
        <w:rPr>
          <w:rFonts w:hint="eastAsia" w:ascii="宋体" w:hAnsi="宋体"/>
          <w:b/>
          <w:sz w:val="30"/>
          <w:szCs w:val="30"/>
        </w:rPr>
        <w:t>浙江工商大学食品与生物工程学院研究生</w:t>
      </w:r>
    </w:p>
    <w:p>
      <w:pPr>
        <w:spacing w:line="360" w:lineRule="auto"/>
        <w:jc w:val="center"/>
        <w:rPr>
          <w:rFonts w:hint="eastAsia" w:ascii="宋体" w:hAnsi="宋体"/>
          <w:b/>
          <w:sz w:val="30"/>
          <w:szCs w:val="30"/>
        </w:rPr>
      </w:pPr>
      <w:r>
        <w:rPr>
          <w:rFonts w:hint="eastAsia" w:ascii="宋体" w:hAnsi="宋体"/>
          <w:b/>
          <w:sz w:val="30"/>
          <w:szCs w:val="30"/>
        </w:rPr>
        <w:t>学业奖学金实施办法（试行）</w:t>
      </w:r>
    </w:p>
    <w:p>
      <w:pPr>
        <w:autoSpaceDE w:val="0"/>
        <w:autoSpaceDN w:val="0"/>
        <w:adjustRightInd w:val="0"/>
        <w:spacing w:line="360" w:lineRule="auto"/>
        <w:jc w:val="left"/>
        <w:rPr>
          <w:rFonts w:hint="eastAsia" w:eastAsia="宋体"/>
          <w:b/>
          <w:lang w:val="en-US" w:eastAsia="zh-CN"/>
        </w:rPr>
      </w:pPr>
    </w:p>
    <w:p>
      <w:pPr>
        <w:numPr>
          <w:ilvl w:val="0"/>
          <w:numId w:val="1"/>
        </w:numPr>
        <w:autoSpaceDE w:val="0"/>
        <w:autoSpaceDN w:val="0"/>
        <w:adjustRightInd w:val="0"/>
        <w:spacing w:line="360" w:lineRule="auto"/>
        <w:jc w:val="center"/>
        <w:rPr>
          <w:rFonts w:hint="eastAsia" w:ascii="宋体" w:hAnsi="宋体" w:cs="Tahoma"/>
          <w:b/>
          <w:bCs w:val="0"/>
          <w:kern w:val="0"/>
          <w:sz w:val="24"/>
          <w:szCs w:val="24"/>
        </w:rPr>
      </w:pPr>
      <w:r>
        <w:rPr>
          <w:rFonts w:hint="eastAsia"/>
          <w:b/>
          <w:bCs w:val="0"/>
          <w:sz w:val="24"/>
          <w:szCs w:val="32"/>
          <w:lang w:val="en-US" w:eastAsia="zh-CN"/>
        </w:rPr>
        <w:t xml:space="preserve"> 总  则</w:t>
      </w:r>
    </w:p>
    <w:p>
      <w:pPr>
        <w:numPr>
          <w:ilvl w:val="0"/>
          <w:numId w:val="2"/>
        </w:numPr>
        <w:autoSpaceDE w:val="0"/>
        <w:autoSpaceDN w:val="0"/>
        <w:adjustRightInd w:val="0"/>
        <w:spacing w:line="360" w:lineRule="auto"/>
        <w:ind w:firstLine="480" w:firstLineChars="200"/>
        <w:jc w:val="left"/>
        <w:rPr>
          <w:rFonts w:hint="eastAsia" w:ascii="宋体" w:hAnsi="宋体" w:cs="仿宋_GB2312+FPEF"/>
          <w:kern w:val="0"/>
          <w:sz w:val="24"/>
          <w:lang w:eastAsia="zh-CN"/>
        </w:rPr>
      </w:pPr>
      <w:r>
        <w:rPr>
          <w:rFonts w:hint="eastAsia" w:ascii="宋体" w:hAnsi="宋体" w:cs="仿宋_GB2312+FPEF"/>
          <w:b w:val="0"/>
          <w:bCs w:val="0"/>
          <w:kern w:val="0"/>
          <w:sz w:val="24"/>
          <w:lang w:val="en-US" w:eastAsia="zh-CN"/>
        </w:rPr>
        <w:t xml:space="preserve"> </w:t>
      </w:r>
      <w:r>
        <w:rPr>
          <w:rFonts w:hint="eastAsia" w:ascii="宋体" w:hAnsi="宋体" w:cs="仿宋_GB2312+FPEF"/>
          <w:b w:val="0"/>
          <w:bCs w:val="0"/>
          <w:kern w:val="0"/>
          <w:sz w:val="24"/>
        </w:rPr>
        <w:t>为</w:t>
      </w:r>
      <w:r>
        <w:rPr>
          <w:rFonts w:hint="eastAsia" w:ascii="宋体" w:hAnsi="宋体" w:cs="仿宋_GB2312+FPEF"/>
          <w:b w:val="0"/>
          <w:bCs w:val="0"/>
          <w:kern w:val="0"/>
          <w:sz w:val="24"/>
          <w:lang w:eastAsia="zh-CN"/>
        </w:rPr>
        <w:t>激励研究生勤奋学习、潜心科研、勇于创新、积极进取，在全面实行研究生收费制度的情况下支持研究生顺利完成学业，根据</w:t>
      </w:r>
      <w:r>
        <w:rPr>
          <w:rFonts w:hint="eastAsia" w:ascii="宋体" w:hAnsi="宋体" w:cs="仿宋_GB2312+FPEF"/>
          <w:b w:val="0"/>
          <w:bCs w:val="0"/>
          <w:kern w:val="0"/>
          <w:sz w:val="24"/>
        </w:rPr>
        <w:t>《浙江工商大学研究生学业奖学金管理暂行办法》</w:t>
      </w:r>
      <w:r>
        <w:rPr>
          <w:rFonts w:hint="eastAsia" w:ascii="宋体" w:hAnsi="宋体" w:cs="仿宋_GB2312+FPEF"/>
          <w:kern w:val="0"/>
          <w:sz w:val="24"/>
          <w:lang w:eastAsia="zh-CN"/>
        </w:rPr>
        <w:t>（</w:t>
      </w:r>
      <w:r>
        <w:rPr>
          <w:rFonts w:hint="eastAsia" w:ascii="宋体" w:hAnsi="宋体" w:cs="仿宋_GB2312+FPEF"/>
          <w:kern w:val="0"/>
          <w:sz w:val="24"/>
        </w:rPr>
        <w:t>浙商大研[2014]236号</w:t>
      </w:r>
      <w:r>
        <w:rPr>
          <w:rFonts w:hint="eastAsia" w:ascii="宋体" w:hAnsi="宋体" w:cs="仿宋_GB2312+FPEF"/>
          <w:kern w:val="0"/>
          <w:sz w:val="24"/>
          <w:lang w:eastAsia="zh-CN"/>
        </w:rPr>
        <w:t>）的精神，结合我院实际情况，制定本办法。</w:t>
      </w:r>
    </w:p>
    <w:p>
      <w:pPr>
        <w:numPr>
          <w:ilvl w:val="0"/>
          <w:numId w:val="2"/>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本办法所称研究生是指我院具有中华人民共和国国籍、纳入全国研究生招生计划、全日制（全脱产培养）、非定向就业的普通在校博士和硕士研究生。</w:t>
      </w:r>
    </w:p>
    <w:p>
      <w:pPr>
        <w:numPr>
          <w:ilvl w:val="0"/>
          <w:numId w:val="2"/>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研究生获得学业奖学金的总年限，不超过基本学制规定的学习年限。博士生基本学制年限为3年，硕士生基本学制年限为2.5年。</w:t>
      </w:r>
    </w:p>
    <w:p>
      <w:pPr>
        <w:numPr>
          <w:ilvl w:val="0"/>
          <w:numId w:val="2"/>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获得学业奖学金的研究生可同时申请研究生国家奖学金等其他校内外奖助项目。</w:t>
      </w:r>
    </w:p>
    <w:p>
      <w:pPr>
        <w:autoSpaceDE w:val="0"/>
        <w:autoSpaceDN w:val="0"/>
        <w:adjustRightInd w:val="0"/>
        <w:spacing w:line="360" w:lineRule="auto"/>
        <w:jc w:val="left"/>
        <w:rPr>
          <w:rFonts w:hint="eastAsia" w:ascii="宋体" w:hAnsi="宋体" w:cs="仿宋_GB2312+FPEF"/>
          <w:kern w:val="0"/>
          <w:sz w:val="24"/>
        </w:rPr>
      </w:pPr>
    </w:p>
    <w:p>
      <w:pPr>
        <w:pStyle w:val="4"/>
        <w:numPr>
          <w:ilvl w:val="0"/>
          <w:numId w:val="0"/>
        </w:numPr>
        <w:spacing w:before="0" w:beforeAutospacing="0" w:after="0" w:afterAutospacing="0" w:line="360" w:lineRule="auto"/>
        <w:jc w:val="center"/>
        <w:rPr>
          <w:rFonts w:hint="eastAsia" w:ascii="宋体" w:hAnsi="宋体" w:cs="仿宋_GB2312+FPEF"/>
          <w:kern w:val="0"/>
          <w:sz w:val="24"/>
        </w:rPr>
      </w:pPr>
      <w:r>
        <w:rPr>
          <w:rFonts w:hint="eastAsia"/>
          <w:b/>
          <w:bCs/>
          <w:lang w:val="en-US" w:eastAsia="zh-CN"/>
        </w:rPr>
        <w:t>第二章  奖励类型、等级、标准、比例</w:t>
      </w:r>
    </w:p>
    <w:p>
      <w:pPr>
        <w:numPr>
          <w:ilvl w:val="0"/>
          <w:numId w:val="2"/>
        </w:numPr>
        <w:autoSpaceDE w:val="0"/>
        <w:autoSpaceDN w:val="0"/>
        <w:adjustRightInd w:val="0"/>
        <w:spacing w:line="360" w:lineRule="auto"/>
        <w:ind w:firstLine="480" w:firstLineChars="200"/>
        <w:jc w:val="left"/>
        <w:rPr>
          <w:rFonts w:hint="eastAsia" w:ascii="宋体" w:hAnsi="宋体" w:cs="仿宋_GB2312+FPEF"/>
          <w:kern w:val="0"/>
          <w:sz w:val="24"/>
          <w:highlight w:val="none"/>
        </w:rPr>
      </w:pPr>
      <w:r>
        <w:rPr>
          <w:rFonts w:hint="eastAsia" w:ascii="宋体" w:hAnsi="宋体" w:cs="仿宋_GB2312+FPEF"/>
          <w:kern w:val="0"/>
          <w:sz w:val="24"/>
          <w:highlight w:val="none"/>
          <w:lang w:val="en-US" w:eastAsia="zh-CN"/>
        </w:rPr>
        <w:t xml:space="preserve"> </w:t>
      </w:r>
      <w:r>
        <w:rPr>
          <w:rFonts w:hint="eastAsia" w:ascii="宋体" w:hAnsi="宋体" w:cs="仿宋_GB2312+FPEF"/>
          <w:kern w:val="0"/>
          <w:sz w:val="24"/>
          <w:highlight w:val="none"/>
        </w:rPr>
        <w:t>研究生新生学业奖学金奖励等级、标准和比例</w:t>
      </w:r>
      <w:r>
        <w:rPr>
          <w:rFonts w:hint="eastAsia" w:ascii="宋体" w:hAnsi="宋体" w:cs="仿宋_GB2312+FPEF"/>
          <w:kern w:val="0"/>
          <w:sz w:val="24"/>
          <w:highlight w:val="none"/>
          <w:lang w:val="en-US" w:eastAsia="zh-CN"/>
        </w:rPr>
        <w:t xml:space="preserve"> </w:t>
      </w:r>
    </w:p>
    <w:p>
      <w:pPr>
        <w:numPr>
          <w:ilvl w:val="0"/>
          <w:numId w:val="0"/>
        </w:numPr>
        <w:autoSpaceDE w:val="0"/>
        <w:autoSpaceDN w:val="0"/>
        <w:adjustRightInd w:val="0"/>
        <w:spacing w:line="360" w:lineRule="auto"/>
        <w:ind w:firstLine="480" w:firstLineChars="200"/>
        <w:jc w:val="left"/>
        <w:rPr>
          <w:rFonts w:hint="eastAsia" w:ascii="宋体" w:hAnsi="宋体" w:cs="仿宋_GB2312+FPEF"/>
          <w:kern w:val="0"/>
          <w:sz w:val="24"/>
          <w:highlight w:val="none"/>
          <w:lang w:eastAsia="zh-CN"/>
        </w:rPr>
      </w:pPr>
      <w:r>
        <w:rPr>
          <w:rFonts w:hint="eastAsia" w:ascii="宋体" w:hAnsi="宋体" w:cs="仿宋_GB2312+FPEF"/>
          <w:kern w:val="0"/>
          <w:sz w:val="24"/>
          <w:highlight w:val="none"/>
          <w:lang w:eastAsia="zh-CN"/>
        </w:rPr>
        <w:t>根据学校文件规定，研究生学业奖学金设研究生新生学业奖学金和研究生学年学业奖学金两种类型。</w:t>
      </w:r>
    </w:p>
    <w:p>
      <w:pPr>
        <w:numPr>
          <w:ilvl w:val="0"/>
          <w:numId w:val="0"/>
        </w:numPr>
        <w:autoSpaceDE w:val="0"/>
        <w:autoSpaceDN w:val="0"/>
        <w:adjustRightInd w:val="0"/>
        <w:spacing w:line="360" w:lineRule="auto"/>
        <w:ind w:firstLine="480" w:firstLineChars="200"/>
        <w:jc w:val="left"/>
        <w:rPr>
          <w:rFonts w:hint="eastAsia" w:ascii="宋体" w:hAnsi="宋体" w:cs="仿宋_GB2312+FPEF"/>
          <w:kern w:val="0"/>
          <w:sz w:val="24"/>
          <w:highlight w:val="none"/>
        </w:rPr>
      </w:pPr>
      <w:r>
        <w:rPr>
          <w:rFonts w:hint="eastAsia" w:ascii="宋体" w:hAnsi="宋体" w:cs="仿宋_GB2312+FPEF"/>
          <w:kern w:val="0"/>
          <w:sz w:val="24"/>
          <w:highlight w:val="none"/>
        </w:rPr>
        <w:t>（一）</w:t>
      </w:r>
      <w:r>
        <w:rPr>
          <w:rFonts w:hint="eastAsia" w:ascii="宋体" w:hAnsi="宋体" w:cs="仿宋_GB2312+FPEF"/>
          <w:kern w:val="0"/>
          <w:sz w:val="24"/>
          <w:highlight w:val="none"/>
          <w:lang w:eastAsia="zh-CN"/>
        </w:rPr>
        <w:t>研究生新生学业奖学金</w:t>
      </w:r>
    </w:p>
    <w:p>
      <w:pPr>
        <w:numPr>
          <w:ilvl w:val="0"/>
          <w:numId w:val="0"/>
        </w:numPr>
        <w:autoSpaceDE w:val="0"/>
        <w:autoSpaceDN w:val="0"/>
        <w:adjustRightInd w:val="0"/>
        <w:spacing w:line="360" w:lineRule="auto"/>
        <w:ind w:firstLine="480" w:firstLineChars="200"/>
        <w:jc w:val="left"/>
        <w:rPr>
          <w:rFonts w:hint="eastAsia" w:ascii="宋体" w:hAnsi="宋体" w:cs="仿宋_GB2312+FPEF"/>
          <w:kern w:val="0"/>
          <w:sz w:val="24"/>
          <w:highlight w:val="none"/>
        </w:rPr>
      </w:pPr>
      <w:r>
        <w:rPr>
          <w:rFonts w:hint="eastAsia" w:ascii="宋体" w:hAnsi="宋体" w:cs="仿宋_GB2312+FPEF"/>
          <w:kern w:val="0"/>
          <w:sz w:val="24"/>
          <w:highlight w:val="none"/>
        </w:rPr>
        <w:t>博士生新生学业奖学金发放对象为一年级博士研究生，不分等级，奖励标准为每生10000元/年，奖励比例为一年级博士研究生的100%。</w:t>
      </w:r>
    </w:p>
    <w:p>
      <w:pPr>
        <w:numPr>
          <w:ilvl w:val="0"/>
          <w:numId w:val="0"/>
        </w:numPr>
        <w:autoSpaceDE w:val="0"/>
        <w:autoSpaceDN w:val="0"/>
        <w:adjustRightInd w:val="0"/>
        <w:spacing w:line="360" w:lineRule="auto"/>
        <w:ind w:firstLine="480" w:firstLineChars="200"/>
        <w:jc w:val="left"/>
        <w:rPr>
          <w:rFonts w:hint="eastAsia" w:ascii="宋体" w:hAnsi="宋体" w:cs="仿宋_GB2312+FPEF"/>
          <w:kern w:val="0"/>
          <w:sz w:val="24"/>
          <w:highlight w:val="none"/>
        </w:rPr>
      </w:pPr>
      <w:r>
        <w:rPr>
          <w:rFonts w:hint="eastAsia" w:ascii="宋体" w:hAnsi="宋体" w:cs="仿宋_GB2312+FPEF"/>
          <w:kern w:val="0"/>
          <w:sz w:val="24"/>
          <w:highlight w:val="none"/>
        </w:rPr>
        <w:t>硕士生新生学业奖学金发放对象为一年级硕士研究生，分一志愿考生（含推免生）和调剂志愿考生两档实施。</w:t>
      </w:r>
    </w:p>
    <w:tbl>
      <w:tblPr>
        <w:tblStyle w:val="6"/>
        <w:tblW w:w="5969" w:type="dxa"/>
        <w:jc w:val="center"/>
        <w:tblInd w:w="534" w:type="dxa"/>
        <w:tblLayout w:type="fixed"/>
        <w:tblCellMar>
          <w:top w:w="0" w:type="dxa"/>
          <w:left w:w="0" w:type="dxa"/>
          <w:bottom w:w="0" w:type="dxa"/>
          <w:right w:w="0" w:type="dxa"/>
        </w:tblCellMar>
      </w:tblPr>
      <w:tblGrid>
        <w:gridCol w:w="2138"/>
        <w:gridCol w:w="1658"/>
        <w:gridCol w:w="2173"/>
      </w:tblGrid>
      <w:tr>
        <w:tblPrEx>
          <w:tblLayout w:type="fixed"/>
          <w:tblCellMar>
            <w:top w:w="0" w:type="dxa"/>
            <w:left w:w="0" w:type="dxa"/>
            <w:bottom w:w="0" w:type="dxa"/>
            <w:right w:w="0" w:type="dxa"/>
          </w:tblCellMar>
        </w:tblPrEx>
        <w:trPr>
          <w:trHeight w:val="388" w:hRule="atLeast"/>
          <w:jc w:val="center"/>
        </w:trPr>
        <w:tc>
          <w:tcPr>
            <w:tcW w:w="2138"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报考学校志愿</w:t>
            </w:r>
          </w:p>
        </w:tc>
        <w:tc>
          <w:tcPr>
            <w:tcW w:w="1658"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奖励标准</w:t>
            </w:r>
          </w:p>
        </w:tc>
        <w:tc>
          <w:tcPr>
            <w:tcW w:w="2173"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奖励比例</w:t>
            </w:r>
          </w:p>
        </w:tc>
      </w:tr>
      <w:tr>
        <w:tblPrEx>
          <w:tblLayout w:type="fixed"/>
          <w:tblCellMar>
            <w:top w:w="0" w:type="dxa"/>
            <w:left w:w="0" w:type="dxa"/>
            <w:bottom w:w="0" w:type="dxa"/>
            <w:right w:w="0" w:type="dxa"/>
          </w:tblCellMar>
        </w:tblPrEx>
        <w:trPr>
          <w:trHeight w:val="436" w:hRule="atLeast"/>
          <w:jc w:val="center"/>
        </w:trPr>
        <w:tc>
          <w:tcPr>
            <w:tcW w:w="2138"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一志愿（含推免生）</w:t>
            </w:r>
          </w:p>
        </w:tc>
        <w:tc>
          <w:tcPr>
            <w:tcW w:w="1658"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学费的100%</w:t>
            </w:r>
          </w:p>
        </w:tc>
        <w:tc>
          <w:tcPr>
            <w:tcW w:w="2173" w:type="dxa"/>
            <w:vMerge w:val="restart"/>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100%</w:t>
            </w:r>
          </w:p>
        </w:tc>
      </w:tr>
      <w:tr>
        <w:tblPrEx>
          <w:tblLayout w:type="fixed"/>
          <w:tblCellMar>
            <w:top w:w="0" w:type="dxa"/>
            <w:left w:w="0" w:type="dxa"/>
            <w:bottom w:w="0" w:type="dxa"/>
            <w:right w:w="0" w:type="dxa"/>
          </w:tblCellMar>
        </w:tblPrEx>
        <w:trPr>
          <w:trHeight w:val="428" w:hRule="atLeast"/>
          <w:jc w:val="center"/>
        </w:trPr>
        <w:tc>
          <w:tcPr>
            <w:tcW w:w="2138"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调剂志愿</w:t>
            </w:r>
          </w:p>
        </w:tc>
        <w:tc>
          <w:tcPr>
            <w:tcW w:w="1658"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学费的80%</w:t>
            </w:r>
          </w:p>
        </w:tc>
        <w:tc>
          <w:tcPr>
            <w:tcW w:w="2173" w:type="dxa"/>
            <w:vMerge w:val="continue"/>
            <w:tcBorders>
              <w:top w:val="single" w:color="000000" w:sz="8" w:space="0"/>
              <w:left w:val="single" w:color="000000" w:sz="8" w:space="0"/>
              <w:bottom w:val="single" w:color="000000" w:sz="8" w:space="0"/>
              <w:right w:val="single" w:color="000000" w:sz="8" w:space="0"/>
            </w:tcBorders>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p>
        </w:tc>
      </w:tr>
    </w:tbl>
    <w:p>
      <w:pPr>
        <w:numPr>
          <w:ilvl w:val="0"/>
          <w:numId w:val="0"/>
        </w:numPr>
        <w:autoSpaceDE w:val="0"/>
        <w:autoSpaceDN w:val="0"/>
        <w:adjustRightInd w:val="0"/>
        <w:spacing w:line="360" w:lineRule="auto"/>
        <w:jc w:val="left"/>
        <w:rPr>
          <w:rFonts w:hint="eastAsia" w:ascii="宋体" w:hAnsi="宋体" w:cs="仿宋_GB2312+FPEF"/>
          <w:kern w:val="0"/>
          <w:sz w:val="24"/>
          <w:highlight w:val="none"/>
          <w:lang w:val="en-US" w:eastAsia="zh-CN"/>
        </w:rPr>
      </w:pPr>
    </w:p>
    <w:p>
      <w:pPr>
        <w:numPr>
          <w:ilvl w:val="0"/>
          <w:numId w:val="3"/>
        </w:numPr>
        <w:autoSpaceDE w:val="0"/>
        <w:autoSpaceDN w:val="0"/>
        <w:adjustRightInd w:val="0"/>
        <w:spacing w:line="360" w:lineRule="auto"/>
        <w:ind w:firstLine="480" w:firstLineChars="200"/>
        <w:jc w:val="left"/>
        <w:rPr>
          <w:rFonts w:hint="eastAsia" w:ascii="宋体" w:hAnsi="宋体" w:cs="仿宋_GB2312+FPEF"/>
          <w:kern w:val="0"/>
          <w:sz w:val="24"/>
          <w:highlight w:val="none"/>
          <w:lang w:val="en-US" w:eastAsia="zh-CN"/>
        </w:rPr>
      </w:pPr>
      <w:r>
        <w:rPr>
          <w:rFonts w:hint="eastAsia" w:ascii="宋体" w:hAnsi="宋体" w:cs="仿宋_GB2312+FPEF"/>
          <w:kern w:val="0"/>
          <w:sz w:val="24"/>
          <w:highlight w:val="none"/>
          <w:lang w:eastAsia="zh-CN"/>
        </w:rPr>
        <w:t>研究生学年学业奖学金</w:t>
      </w:r>
    </w:p>
    <w:tbl>
      <w:tblPr>
        <w:tblStyle w:val="6"/>
        <w:tblW w:w="78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687"/>
        <w:gridCol w:w="1993"/>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1875" w:type="dxa"/>
            <w:tcBorders>
              <w:top w:val="single" w:color="auto" w:sz="4" w:space="0"/>
              <w:left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类 别</w:t>
            </w:r>
          </w:p>
        </w:tc>
        <w:tc>
          <w:tcPr>
            <w:tcW w:w="1687" w:type="dxa"/>
            <w:tcBorders>
              <w:top w:val="single" w:color="auto" w:sz="4" w:space="0"/>
              <w:left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等 级</w:t>
            </w:r>
          </w:p>
        </w:tc>
        <w:tc>
          <w:tcPr>
            <w:tcW w:w="1993" w:type="dxa"/>
            <w:tcBorders>
              <w:top w:val="single" w:color="auto" w:sz="4" w:space="0"/>
              <w:left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奖励标准</w:t>
            </w:r>
          </w:p>
        </w:tc>
        <w:tc>
          <w:tcPr>
            <w:tcW w:w="2261" w:type="dxa"/>
            <w:tcBorders>
              <w:top w:val="single" w:color="auto" w:sz="4" w:space="0"/>
              <w:left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奖励比例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875" w:type="dxa"/>
            <w:vMerge w:val="restart"/>
            <w:tcBorders>
              <w:top w:val="single" w:color="auto" w:sz="4" w:space="0"/>
              <w:left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博士生</w:t>
            </w: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一等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18000元/年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二等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14000元/年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三等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10000元/年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875" w:type="dxa"/>
            <w:vMerge w:val="restart"/>
            <w:tcBorders>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硕士生</w:t>
            </w: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一等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12000元/年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二等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10000元/年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三等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8000元/年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autoSpaceDE w:val="0"/>
              <w:autoSpaceDN w:val="0"/>
              <w:adjustRightInd w:val="0"/>
              <w:spacing w:line="360" w:lineRule="auto"/>
              <w:jc w:val="left"/>
              <w:rPr>
                <w:rFonts w:hint="eastAsia" w:ascii="宋体" w:hAnsi="宋体" w:cs="仿宋_GB2312+FPEF"/>
                <w:kern w:val="0"/>
                <w:sz w:val="24"/>
                <w:highlight w:val="none"/>
              </w:rPr>
            </w:pPr>
            <w:r>
              <w:rPr>
                <w:rFonts w:hint="eastAsia" w:ascii="宋体" w:hAnsi="宋体" w:cs="仿宋_GB2312+FPEF"/>
                <w:kern w:val="0"/>
                <w:sz w:val="24"/>
                <w:highlight w:val="none"/>
              </w:rPr>
              <w:t>50%</w:t>
            </w:r>
          </w:p>
        </w:tc>
      </w:tr>
    </w:tbl>
    <w:p>
      <w:pPr>
        <w:numPr>
          <w:ilvl w:val="0"/>
          <w:numId w:val="0"/>
        </w:numPr>
        <w:autoSpaceDE w:val="0"/>
        <w:autoSpaceDN w:val="0"/>
        <w:adjustRightInd w:val="0"/>
        <w:spacing w:line="360" w:lineRule="auto"/>
        <w:jc w:val="left"/>
        <w:rPr>
          <w:rFonts w:hint="eastAsia" w:ascii="宋体" w:hAnsi="宋体" w:cs="仿宋_GB2312+FPEF"/>
          <w:kern w:val="0"/>
          <w:sz w:val="24"/>
          <w:highlight w:val="none"/>
          <w:lang w:eastAsia="zh-CN"/>
        </w:rPr>
      </w:pPr>
      <w:r>
        <w:rPr>
          <w:rFonts w:hint="eastAsia" w:ascii="宋体" w:hAnsi="宋体" w:cs="仿宋_GB2312+FPEF"/>
          <w:kern w:val="0"/>
          <w:sz w:val="24"/>
          <w:highlight w:val="none"/>
        </w:rPr>
        <w:t xml:space="preserve">注：2.5年学制的硕士研究生，最后一次发放时，奖励额度减半。 </w:t>
      </w:r>
    </w:p>
    <w:p>
      <w:pPr>
        <w:numPr>
          <w:ilvl w:val="0"/>
          <w:numId w:val="0"/>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eastAsia="zh-CN"/>
        </w:rPr>
        <w:t>学年</w:t>
      </w:r>
      <w:r>
        <w:rPr>
          <w:rFonts w:hint="eastAsia" w:ascii="宋体" w:hAnsi="宋体" w:cs="仿宋_GB2312+FPEF"/>
          <w:kern w:val="0"/>
          <w:sz w:val="24"/>
        </w:rPr>
        <w:t>学业奖学金分为综合型学业奖学金和创新型学业奖学金。综合型奖学金主要用于奖励在德育、课业、素质拓展方面表现突出的学生。创新型奖学金主要用于奖励在学生科研、科技竞赛、创新创业等方面表现突出的学生。</w:t>
      </w:r>
    </w:p>
    <w:p>
      <w:p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rPr>
        <w:t>申报参评学生可根据评奖年度内本人的实际情况在两种奖学金类型中选择一种参评，学院奖学金评审小组根据申报人数，按比例进行评奖。评奖比例如下：</w:t>
      </w:r>
    </w:p>
    <w:tbl>
      <w:tblPr>
        <w:tblStyle w:val="7"/>
        <w:tblpPr w:leftFromText="180" w:rightFromText="180" w:vertAnchor="text" w:horzAnchor="margin" w:tblpXSpec="center" w:tblpY="131"/>
        <w:tblW w:w="8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21"/>
        <w:gridCol w:w="1722"/>
        <w:gridCol w:w="1721"/>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04" w:type="dxa"/>
            <w:vMerge w:val="restart"/>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43815</wp:posOffset>
                      </wp:positionV>
                      <wp:extent cx="1085850" cy="594360"/>
                      <wp:effectExtent l="2540" t="4445" r="16510" b="10795"/>
                      <wp:wrapNone/>
                      <wp:docPr id="2" name="直线 3"/>
                      <wp:cNvGraphicFramePr/>
                      <a:graphic xmlns:a="http://schemas.openxmlformats.org/drawingml/2006/main">
                        <a:graphicData uri="http://schemas.microsoft.com/office/word/2010/wordprocessingShape">
                          <wps:wsp>
                            <wps:cNvCnPr/>
                            <wps:spPr>
                              <a:xfrm>
                                <a:off x="0" y="0"/>
                                <a:ext cx="1085850" cy="5943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pt;margin-top:3.45pt;height:46.8pt;width:85.5pt;z-index:251658240;mso-width-relative:page;mso-height-relative:page;" filled="f" stroked="t" coordsize="21600,21600" o:gfxdata="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Emra7WAAAACQEAAA8AAAAAAAAAAQAgAAAA&#10;IgAAAGRycy9kb3ducmV2LnhtbFBLAQIUABQAAAAIAIdO4kAXFYuz1AEAAJIDAAAOAAAAAAAAAAEA&#10;IAAAACUBAABkcnMvZTJvRG9jLnhtbFBLBQYAAAAABgAGAFkBAABrBQAAAAA=&#10;">
                      <v:fill on="f" focussize="0,0"/>
                      <v:stroke color="#000000" joinstyle="round"/>
                      <v:imagedata o:title=""/>
                      <o:lock v:ext="edit" aspectratio="f"/>
                    </v:line>
                  </w:pict>
                </mc:Fallback>
              </mc:AlternateContent>
            </w:r>
            <w:r>
              <w:rPr>
                <w:rFonts w:hint="eastAsia" w:ascii="宋体" w:hAnsi="宋体" w:cs="仿宋_GB2312+FPEF"/>
                <w:kern w:val="0"/>
                <w:sz w:val="24"/>
              </w:rPr>
              <w:t xml:space="preserve">    比例</w:t>
            </w:r>
          </w:p>
          <w:p>
            <w:pPr>
              <w:autoSpaceDE w:val="0"/>
              <w:autoSpaceDN w:val="0"/>
              <w:adjustRightInd w:val="0"/>
              <w:spacing w:line="360" w:lineRule="auto"/>
              <w:rPr>
                <w:rFonts w:hint="eastAsia" w:ascii="宋体" w:hAnsi="宋体" w:cs="仿宋_GB2312+FPEF"/>
                <w:kern w:val="0"/>
                <w:sz w:val="24"/>
              </w:rPr>
            </w:pPr>
            <w:r>
              <w:rPr>
                <w:rFonts w:hint="eastAsia" w:ascii="宋体" w:hAnsi="宋体" w:cs="仿宋_GB2312+FPEF"/>
                <w:kern w:val="0"/>
                <w:sz w:val="24"/>
              </w:rPr>
              <w:t>等级</w:t>
            </w:r>
          </w:p>
        </w:tc>
        <w:tc>
          <w:tcPr>
            <w:tcW w:w="3443" w:type="dxa"/>
            <w:gridSpan w:val="2"/>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学术学位硕士</w:t>
            </w:r>
          </w:p>
        </w:tc>
        <w:tc>
          <w:tcPr>
            <w:tcW w:w="3443" w:type="dxa"/>
            <w:gridSpan w:val="2"/>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专业学位硕士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04" w:type="dxa"/>
            <w:vMerge w:val="continue"/>
            <w:vAlign w:val="top"/>
          </w:tcPr>
          <w:p>
            <w:pPr>
              <w:autoSpaceDE w:val="0"/>
              <w:autoSpaceDN w:val="0"/>
              <w:adjustRightInd w:val="0"/>
              <w:spacing w:line="360" w:lineRule="auto"/>
              <w:jc w:val="center"/>
              <w:rPr>
                <w:rFonts w:hint="eastAsia" w:ascii="宋体" w:hAnsi="宋体" w:cs="仿宋_GB2312+FPEF"/>
                <w:kern w:val="0"/>
                <w:sz w:val="24"/>
              </w:rPr>
            </w:pP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创新型</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综合型</w:t>
            </w: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创新型</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综合型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704"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一等奖</w:t>
            </w: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20%</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20%</w:t>
            </w: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20%</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704"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二等奖</w:t>
            </w: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30%</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30%</w:t>
            </w: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30%</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704"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三等奖</w:t>
            </w: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50%</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50%</w:t>
            </w:r>
          </w:p>
        </w:tc>
        <w:tc>
          <w:tcPr>
            <w:tcW w:w="1721"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50%</w:t>
            </w:r>
          </w:p>
        </w:tc>
        <w:tc>
          <w:tcPr>
            <w:tcW w:w="1722" w:type="dxa"/>
            <w:vAlign w:val="top"/>
          </w:tcPr>
          <w:p>
            <w:pPr>
              <w:autoSpaceDE w:val="0"/>
              <w:autoSpaceDN w:val="0"/>
              <w:adjustRightInd w:val="0"/>
              <w:spacing w:line="360" w:lineRule="auto"/>
              <w:jc w:val="center"/>
              <w:rPr>
                <w:rFonts w:hint="eastAsia" w:ascii="宋体" w:hAnsi="宋体" w:cs="仿宋_GB2312+FPEF"/>
                <w:kern w:val="0"/>
                <w:sz w:val="24"/>
              </w:rPr>
            </w:pPr>
            <w:r>
              <w:rPr>
                <w:rFonts w:hint="eastAsia" w:ascii="宋体" w:hAnsi="宋体" w:cs="仿宋_GB2312+FPEF"/>
                <w:kern w:val="0"/>
                <w:sz w:val="24"/>
              </w:rPr>
              <w:t>50%</w:t>
            </w:r>
          </w:p>
        </w:tc>
      </w:tr>
    </w:tbl>
    <w:p>
      <w:pPr>
        <w:numPr>
          <w:ilvl w:val="0"/>
          <w:numId w:val="0"/>
        </w:numPr>
        <w:autoSpaceDE w:val="0"/>
        <w:autoSpaceDN w:val="0"/>
        <w:adjustRightInd w:val="0"/>
        <w:spacing w:line="360" w:lineRule="auto"/>
        <w:ind w:firstLine="480" w:firstLineChars="200"/>
        <w:jc w:val="left"/>
        <w:rPr>
          <w:rFonts w:hint="eastAsia" w:ascii="宋体" w:hAnsi="宋体" w:cs="仿宋_GB2312+FPEF"/>
          <w:kern w:val="0"/>
          <w:sz w:val="24"/>
          <w:highlight w:val="none"/>
          <w:lang w:eastAsia="zh-CN"/>
        </w:rPr>
      </w:pPr>
      <w:r>
        <w:rPr>
          <w:rFonts w:hint="eastAsia" w:ascii="宋体" w:hAnsi="宋体" w:cs="仿宋_GB2312+FPEF"/>
          <w:kern w:val="0"/>
          <w:sz w:val="24"/>
        </w:rPr>
        <w:t>根据同学申报类型按分数从高到低排序出现同分情况</w:t>
      </w:r>
      <w:r>
        <w:rPr>
          <w:rFonts w:hint="eastAsia" w:ascii="宋体" w:hAnsi="宋体" w:cs="仿宋_GB2312+FPEF"/>
          <w:kern w:val="0"/>
          <w:sz w:val="24"/>
          <w:lang w:val="en-US" w:eastAsia="zh-CN"/>
        </w:rPr>
        <w:t>将</w:t>
      </w:r>
      <w:r>
        <w:rPr>
          <w:rFonts w:hint="eastAsia" w:ascii="宋体" w:hAnsi="宋体" w:cs="仿宋_GB2312+FPEF"/>
          <w:kern w:val="0"/>
          <w:sz w:val="24"/>
        </w:rPr>
        <w:t>按以下方法进行奖</w:t>
      </w:r>
      <w:bookmarkStart w:id="0" w:name="_GoBack"/>
      <w:bookmarkEnd w:id="0"/>
      <w:r>
        <w:rPr>
          <w:rFonts w:hint="eastAsia" w:ascii="宋体" w:hAnsi="宋体" w:cs="仿宋_GB2312+FPEF"/>
          <w:kern w:val="0"/>
          <w:sz w:val="24"/>
        </w:rPr>
        <w:t>学金等级评判：</w:t>
      </w:r>
      <w:r>
        <w:rPr>
          <w:rFonts w:hint="eastAsia" w:ascii="宋体" w:hAnsi="宋体" w:cs="仿宋_GB2312+FPEF"/>
          <w:kern w:val="0"/>
          <w:sz w:val="24"/>
          <w:highlight w:val="yellow"/>
          <w:lang w:eastAsia="zh-CN"/>
        </w:rPr>
        <w:t>（</w:t>
      </w:r>
      <w:r>
        <w:rPr>
          <w:rFonts w:hint="eastAsia" w:ascii="宋体" w:hAnsi="宋体" w:cs="仿宋_GB2312+FPEF"/>
          <w:kern w:val="0"/>
          <w:sz w:val="24"/>
          <w:highlight w:val="yellow"/>
          <w:lang w:val="en-US" w:eastAsia="zh-CN"/>
        </w:rPr>
        <w:t>一</w:t>
      </w:r>
      <w:r>
        <w:rPr>
          <w:rFonts w:hint="eastAsia" w:ascii="宋体" w:hAnsi="宋体" w:cs="仿宋_GB2312+FPEF"/>
          <w:kern w:val="0"/>
          <w:sz w:val="24"/>
          <w:highlight w:val="yellow"/>
          <w:lang w:eastAsia="zh-CN"/>
        </w:rPr>
        <w:t>）</w:t>
      </w:r>
      <w:r>
        <w:rPr>
          <w:rFonts w:hint="eastAsia" w:ascii="宋体" w:hAnsi="宋体" w:cs="仿宋_GB2312+FPEF"/>
          <w:kern w:val="0"/>
          <w:sz w:val="24"/>
          <w:highlight w:val="yellow"/>
        </w:rPr>
        <w:t>申报综合型的同学在同分情况按照创新分进行等级划分；</w:t>
      </w:r>
      <w:r>
        <w:rPr>
          <w:rFonts w:hint="eastAsia" w:ascii="宋体" w:hAnsi="宋体" w:cs="仿宋_GB2312+FPEF"/>
          <w:kern w:val="0"/>
          <w:sz w:val="24"/>
          <w:highlight w:val="yellow"/>
          <w:lang w:eastAsia="zh-CN"/>
        </w:rPr>
        <w:t>（</w:t>
      </w:r>
      <w:r>
        <w:rPr>
          <w:rFonts w:hint="eastAsia" w:ascii="宋体" w:hAnsi="宋体" w:cs="仿宋_GB2312+FPEF"/>
          <w:kern w:val="0"/>
          <w:sz w:val="24"/>
          <w:highlight w:val="yellow"/>
          <w:lang w:val="en-US" w:eastAsia="zh-CN"/>
        </w:rPr>
        <w:t>二</w:t>
      </w:r>
      <w:r>
        <w:rPr>
          <w:rFonts w:hint="eastAsia" w:ascii="宋体" w:hAnsi="宋体" w:cs="仿宋_GB2312+FPEF"/>
          <w:kern w:val="0"/>
          <w:sz w:val="24"/>
          <w:highlight w:val="yellow"/>
          <w:lang w:eastAsia="zh-CN"/>
        </w:rPr>
        <w:t>）</w:t>
      </w:r>
      <w:r>
        <w:rPr>
          <w:rFonts w:hint="eastAsia" w:ascii="宋体" w:hAnsi="宋体" w:cs="仿宋_GB2312+FPEF"/>
          <w:kern w:val="0"/>
          <w:sz w:val="24"/>
          <w:highlight w:val="yellow"/>
        </w:rPr>
        <w:t>申报创新型的同学在同分情况下按照前三项总分进行划分；</w:t>
      </w:r>
      <w:r>
        <w:rPr>
          <w:rFonts w:hint="eastAsia" w:ascii="宋体" w:hAnsi="宋体" w:cs="仿宋_GB2312+FPEF"/>
          <w:kern w:val="0"/>
          <w:sz w:val="24"/>
          <w:highlight w:val="yellow"/>
          <w:lang w:eastAsia="zh-CN"/>
        </w:rPr>
        <w:t>（</w:t>
      </w:r>
      <w:r>
        <w:rPr>
          <w:rFonts w:hint="eastAsia" w:ascii="宋体" w:hAnsi="宋体" w:cs="仿宋_GB2312+FPEF"/>
          <w:kern w:val="0"/>
          <w:sz w:val="24"/>
          <w:highlight w:val="yellow"/>
          <w:lang w:val="en-US" w:eastAsia="zh-CN"/>
        </w:rPr>
        <w:t>三</w:t>
      </w:r>
      <w:r>
        <w:rPr>
          <w:rFonts w:hint="eastAsia" w:ascii="宋体" w:hAnsi="宋体" w:cs="仿宋_GB2312+FPEF"/>
          <w:kern w:val="0"/>
          <w:sz w:val="24"/>
          <w:highlight w:val="yellow"/>
          <w:lang w:eastAsia="zh-CN"/>
        </w:rPr>
        <w:t>）</w:t>
      </w:r>
      <w:r>
        <w:rPr>
          <w:rFonts w:hint="eastAsia" w:ascii="宋体" w:hAnsi="宋体" w:cs="仿宋_GB2312+FPEF"/>
          <w:kern w:val="0"/>
          <w:sz w:val="24"/>
          <w:highlight w:val="yellow"/>
        </w:rPr>
        <w:t>前三项总分和创新分都相同，则按照智育分进行等级划分。</w:t>
      </w:r>
    </w:p>
    <w:p>
      <w:pPr>
        <w:numPr>
          <w:ilvl w:val="0"/>
          <w:numId w:val="0"/>
        </w:numPr>
        <w:autoSpaceDE w:val="0"/>
        <w:autoSpaceDN w:val="0"/>
        <w:adjustRightInd w:val="0"/>
        <w:spacing w:line="360" w:lineRule="auto"/>
        <w:ind w:firstLine="480" w:firstLineChars="200"/>
        <w:jc w:val="left"/>
        <w:rPr>
          <w:rFonts w:hint="eastAsia" w:ascii="宋体" w:hAnsi="宋体" w:cs="仿宋_GB2312+FPEF"/>
          <w:kern w:val="0"/>
          <w:sz w:val="24"/>
          <w:highlight w:val="none"/>
        </w:rPr>
      </w:pPr>
      <w:r>
        <w:rPr>
          <w:rFonts w:hint="eastAsia" w:ascii="宋体" w:hAnsi="宋体" w:cs="仿宋_GB2312+FPEF"/>
          <w:kern w:val="0"/>
          <w:sz w:val="24"/>
          <w:highlight w:val="none"/>
          <w:lang w:eastAsia="zh-CN"/>
        </w:rPr>
        <w:t>第六条</w:t>
      </w:r>
      <w:r>
        <w:rPr>
          <w:rFonts w:hint="eastAsia" w:ascii="宋体" w:hAnsi="宋体" w:cs="仿宋_GB2312+FPEF"/>
          <w:kern w:val="0"/>
          <w:sz w:val="24"/>
          <w:highlight w:val="none"/>
          <w:lang w:val="en-US" w:eastAsia="zh-CN"/>
        </w:rPr>
        <w:t xml:space="preserve"> </w:t>
      </w:r>
      <w:r>
        <w:rPr>
          <w:rFonts w:hint="eastAsia" w:ascii="宋体" w:hAnsi="宋体" w:cs="仿宋_GB2312+FPEF"/>
          <w:kern w:val="0"/>
          <w:sz w:val="24"/>
          <w:highlight w:val="none"/>
        </w:rPr>
        <w:t xml:space="preserve"> 硕博连读研究生，根据当年所修课程的层次阶段确定身份参与学业奖学金的评定。在选修硕士课程阶段按照硕士研究生身份参与评定，进入选修博士研究生课程阶段按照博士研究生身份参与评定。</w:t>
      </w:r>
    </w:p>
    <w:p>
      <w:pPr>
        <w:widowControl w:val="0"/>
        <w:numPr>
          <w:ilvl w:val="0"/>
          <w:numId w:val="0"/>
        </w:numPr>
        <w:autoSpaceDE w:val="0"/>
        <w:autoSpaceDN w:val="0"/>
        <w:adjustRightInd w:val="0"/>
        <w:spacing w:line="360" w:lineRule="auto"/>
        <w:jc w:val="left"/>
        <w:rPr>
          <w:rFonts w:hint="eastAsia" w:ascii="宋体" w:hAnsi="宋体" w:cs="仿宋_GB2312+FPEF"/>
          <w:kern w:val="0"/>
          <w:sz w:val="24"/>
          <w:highlight w:val="yellow"/>
          <w:lang w:eastAsia="zh-CN"/>
        </w:rPr>
      </w:pPr>
    </w:p>
    <w:p>
      <w:pPr>
        <w:pStyle w:val="4"/>
        <w:widowControl/>
        <w:numPr>
          <w:ilvl w:val="0"/>
          <w:numId w:val="4"/>
        </w:numPr>
        <w:spacing w:before="0" w:beforeAutospacing="0" w:after="0" w:afterAutospacing="0" w:line="360" w:lineRule="auto"/>
        <w:jc w:val="center"/>
        <w:rPr>
          <w:rFonts w:hint="eastAsia"/>
          <w:b/>
          <w:bCs/>
          <w:lang w:val="en-US" w:eastAsia="zh-CN"/>
        </w:rPr>
      </w:pPr>
      <w:r>
        <w:rPr>
          <w:rFonts w:hint="eastAsia"/>
          <w:b/>
          <w:bCs/>
          <w:lang w:val="en-US" w:eastAsia="zh-CN"/>
        </w:rPr>
        <w:t xml:space="preserve"> 申请条件、评奖学年、评奖规则</w:t>
      </w:r>
    </w:p>
    <w:p>
      <w:pPr>
        <w:pStyle w:val="4"/>
        <w:widowControl/>
        <w:numPr>
          <w:ilvl w:val="0"/>
          <w:numId w:val="0"/>
        </w:numPr>
        <w:spacing w:before="0" w:beforeAutospacing="0" w:after="0" w:afterAutospacing="0" w:line="360" w:lineRule="auto"/>
        <w:ind w:firstLine="480" w:firstLineChars="200"/>
        <w:jc w:val="both"/>
        <w:rPr>
          <w:rFonts w:hint="eastAsia" w:ascii="宋体" w:hAnsi="宋体" w:cs="仿宋_GB2312+FPEF"/>
          <w:kern w:val="0"/>
          <w:sz w:val="24"/>
          <w:highlight w:val="none"/>
        </w:rPr>
      </w:pPr>
      <w:r>
        <w:rPr>
          <w:rFonts w:hint="eastAsia" w:cs="仿宋_GB2312+FPEF"/>
          <w:kern w:val="0"/>
          <w:sz w:val="24"/>
          <w:highlight w:val="none"/>
          <w:lang w:eastAsia="zh-CN"/>
        </w:rPr>
        <w:t>第七条</w:t>
      </w:r>
      <w:r>
        <w:rPr>
          <w:rFonts w:hint="eastAsia" w:cs="仿宋_GB2312+FPEF"/>
          <w:kern w:val="0"/>
          <w:sz w:val="24"/>
          <w:highlight w:val="none"/>
          <w:lang w:val="en-US" w:eastAsia="zh-CN"/>
        </w:rPr>
        <w:t xml:space="preserve"> </w:t>
      </w:r>
      <w:r>
        <w:rPr>
          <w:rFonts w:hint="eastAsia" w:ascii="宋体" w:hAnsi="宋体" w:cs="仿宋_GB2312+FPEF"/>
          <w:kern w:val="0"/>
          <w:sz w:val="24"/>
          <w:highlight w:val="none"/>
        </w:rPr>
        <w:t>有以下情形者，均无资格参加当年度研究生学业奖学金</w:t>
      </w:r>
      <w:r>
        <w:rPr>
          <w:rFonts w:hint="eastAsia" w:cs="仿宋_GB2312+FPEF"/>
          <w:kern w:val="0"/>
          <w:sz w:val="24"/>
          <w:highlight w:val="none"/>
          <w:lang w:eastAsia="zh-CN"/>
        </w:rPr>
        <w:t>评审</w:t>
      </w:r>
      <w:r>
        <w:rPr>
          <w:rFonts w:hint="eastAsia" w:ascii="宋体" w:hAnsi="宋体" w:cs="仿宋_GB2312+FPEF"/>
          <w:kern w:val="0"/>
          <w:sz w:val="24"/>
          <w:highlight w:val="none"/>
        </w:rPr>
        <w:t>：</w:t>
      </w:r>
    </w:p>
    <w:p>
      <w:pPr>
        <w:autoSpaceDE w:val="0"/>
        <w:autoSpaceDN w:val="0"/>
        <w:adjustRightInd w:val="0"/>
        <w:spacing w:line="360" w:lineRule="auto"/>
        <w:ind w:firstLine="480" w:firstLineChars="200"/>
        <w:jc w:val="left"/>
        <w:rPr>
          <w:rFonts w:hint="eastAsia" w:ascii="宋体" w:hAnsi="宋体" w:cs="仿宋_GB2312+FPEF"/>
          <w:kern w:val="0"/>
          <w:sz w:val="24"/>
          <w:lang w:eastAsia="zh-CN"/>
        </w:rPr>
      </w:pPr>
      <w:r>
        <w:rPr>
          <w:rFonts w:hint="eastAsia" w:ascii="宋体" w:hAnsi="宋体" w:cs="仿宋_GB2312+FPEF"/>
          <w:kern w:val="0"/>
          <w:sz w:val="24"/>
          <w:lang w:eastAsia="zh-CN"/>
        </w:rPr>
        <w:t>（一）违反国家宪法、法律。</w:t>
      </w:r>
    </w:p>
    <w:p>
      <w:p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eastAsia="zh-CN"/>
        </w:rPr>
        <w:t>（二）</w:t>
      </w:r>
      <w:r>
        <w:rPr>
          <w:rFonts w:hint="eastAsia" w:ascii="宋体" w:hAnsi="宋体" w:cs="仿宋_GB2312+FPEF"/>
          <w:kern w:val="0"/>
          <w:sz w:val="24"/>
        </w:rPr>
        <w:t>违反研究生入学考试规定、违反研究生学籍管理规定、违反学校学生违纪处分条例。</w:t>
      </w:r>
    </w:p>
    <w:p>
      <w:pPr>
        <w:autoSpaceDE w:val="0"/>
        <w:autoSpaceDN w:val="0"/>
        <w:adjustRightInd w:val="0"/>
        <w:spacing w:line="360" w:lineRule="auto"/>
        <w:ind w:firstLine="480" w:firstLineChars="200"/>
        <w:jc w:val="left"/>
        <w:rPr>
          <w:rFonts w:hint="eastAsia" w:ascii="宋体" w:hAnsi="宋体" w:cs="仿宋_GB2312+FPEF"/>
          <w:kern w:val="0"/>
          <w:sz w:val="24"/>
          <w:highlight w:val="none"/>
        </w:rPr>
      </w:pPr>
      <w:r>
        <w:rPr>
          <w:rFonts w:hint="eastAsia" w:ascii="宋体" w:hAnsi="宋体" w:cs="仿宋_GB2312+FPEF"/>
          <w:kern w:val="0"/>
          <w:sz w:val="24"/>
          <w:highlight w:val="none"/>
          <w:lang w:eastAsia="zh-CN"/>
        </w:rPr>
        <w:t>（三）</w:t>
      </w:r>
      <w:r>
        <w:rPr>
          <w:rFonts w:hint="eastAsia" w:ascii="宋体" w:hAnsi="宋体" w:cs="仿宋_GB2312+FPEF"/>
          <w:kern w:val="0"/>
          <w:sz w:val="24"/>
          <w:highlight w:val="none"/>
        </w:rPr>
        <w:t>无正当理由，欠缴研究生学费。</w:t>
      </w:r>
    </w:p>
    <w:p>
      <w:pPr>
        <w:autoSpaceDE w:val="0"/>
        <w:autoSpaceDN w:val="0"/>
        <w:adjustRightInd w:val="0"/>
        <w:spacing w:line="360" w:lineRule="auto"/>
        <w:ind w:firstLine="480" w:firstLineChars="200"/>
        <w:jc w:val="left"/>
        <w:rPr>
          <w:rFonts w:hint="eastAsia" w:ascii="宋体" w:hAnsi="宋体" w:cs="仿宋_GB2312+FPEF"/>
          <w:kern w:val="0"/>
          <w:sz w:val="24"/>
          <w:highlight w:val="none"/>
        </w:rPr>
      </w:pPr>
      <w:r>
        <w:rPr>
          <w:rFonts w:hint="eastAsia" w:ascii="宋体" w:hAnsi="宋体" w:cs="仿宋_GB2312+FPEF"/>
          <w:kern w:val="0"/>
          <w:sz w:val="24"/>
          <w:highlight w:val="none"/>
          <w:lang w:eastAsia="zh-CN"/>
        </w:rPr>
        <w:t>（四）</w:t>
      </w:r>
      <w:r>
        <w:rPr>
          <w:rFonts w:hint="eastAsia" w:ascii="宋体" w:hAnsi="宋体" w:cs="仿宋_GB2312+FPEF"/>
          <w:kern w:val="0"/>
          <w:sz w:val="24"/>
          <w:highlight w:val="none"/>
        </w:rPr>
        <w:t>违反研究生学术道德规范。</w:t>
      </w:r>
    </w:p>
    <w:p>
      <w:pPr>
        <w:autoSpaceDE w:val="0"/>
        <w:autoSpaceDN w:val="0"/>
        <w:adjustRightInd w:val="0"/>
        <w:spacing w:line="360" w:lineRule="auto"/>
        <w:ind w:firstLine="480" w:firstLineChars="200"/>
        <w:jc w:val="left"/>
        <w:rPr>
          <w:rFonts w:hint="eastAsia" w:ascii="宋体" w:hAnsi="宋体" w:cs="仿宋_GB2312+FPEF"/>
          <w:kern w:val="0"/>
          <w:sz w:val="24"/>
          <w:highlight w:val="none"/>
          <w:lang w:val="en-US" w:eastAsia="zh-CN"/>
        </w:rPr>
      </w:pPr>
      <w:r>
        <w:rPr>
          <w:rFonts w:hint="eastAsia" w:ascii="宋体" w:hAnsi="宋体" w:cs="仿宋_GB2312+FPEF"/>
          <w:kern w:val="0"/>
          <w:sz w:val="24"/>
          <w:highlight w:val="none"/>
          <w:lang w:eastAsia="zh-CN"/>
        </w:rPr>
        <w:t>（五）</w:t>
      </w:r>
      <w:r>
        <w:rPr>
          <w:rFonts w:hint="eastAsia" w:ascii="宋体" w:hAnsi="宋体" w:cs="仿宋_GB2312+FPEF"/>
          <w:kern w:val="0"/>
          <w:sz w:val="24"/>
          <w:highlight w:val="none"/>
          <w:lang w:val="en-US" w:eastAsia="zh-CN"/>
        </w:rPr>
        <w:t>未在规定时间内将参评材料上传至研究生综合评奖信息系统、未按时提交纸质证明材料。</w:t>
      </w:r>
    </w:p>
    <w:p>
      <w:p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highlight w:val="none"/>
          <w:lang w:val="en-US" w:eastAsia="zh-CN"/>
        </w:rPr>
        <w:t>（六）</w:t>
      </w:r>
      <w:r>
        <w:rPr>
          <w:rFonts w:hint="eastAsia" w:ascii="宋体" w:hAnsi="宋体" w:cs="仿宋_GB2312+FPEF"/>
          <w:kern w:val="0"/>
          <w:sz w:val="24"/>
          <w:highlight w:val="none"/>
        </w:rPr>
        <w:t>发生学院认为</w:t>
      </w:r>
      <w:r>
        <w:rPr>
          <w:rFonts w:hint="eastAsia" w:ascii="宋体" w:hAnsi="宋体" w:cs="仿宋_GB2312+FPEF"/>
          <w:kern w:val="0"/>
          <w:sz w:val="24"/>
        </w:rPr>
        <w:t>不适合参评的其他情况。</w:t>
      </w:r>
    </w:p>
    <w:p>
      <w:p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rPr>
        <w:t>已获得研究生学业奖学金的同学，若发现有上述情况的，撤销其学业奖学金获奖资格，收回获奖证书。</w:t>
      </w:r>
    </w:p>
    <w:p>
      <w:pPr>
        <w:widowControl w:val="0"/>
        <w:numPr>
          <w:ilvl w:val="0"/>
          <w:numId w:val="0"/>
        </w:numPr>
        <w:autoSpaceDE w:val="0"/>
        <w:autoSpaceDN w:val="0"/>
        <w:adjustRightInd w:val="0"/>
        <w:spacing w:line="360" w:lineRule="auto"/>
        <w:jc w:val="left"/>
        <w:rPr>
          <w:rFonts w:hint="eastAsia" w:ascii="宋体" w:hAnsi="宋体" w:cs="仿宋_GB2312+FPEF"/>
          <w:kern w:val="0"/>
          <w:sz w:val="24"/>
          <w:highlight w:val="yellow"/>
          <w:lang w:eastAsia="zh-CN"/>
        </w:rPr>
      </w:pPr>
    </w:p>
    <w:p>
      <w:pPr>
        <w:numPr>
          <w:ilvl w:val="0"/>
          <w:numId w:val="0"/>
        </w:numPr>
        <w:autoSpaceDE w:val="0"/>
        <w:autoSpaceDN w:val="0"/>
        <w:adjustRightInd w:val="0"/>
        <w:spacing w:line="360" w:lineRule="auto"/>
        <w:jc w:val="center"/>
        <w:rPr>
          <w:rFonts w:hint="eastAsia" w:ascii="宋体" w:hAnsi="宋体" w:cs="仿宋_GB2312+FPEF"/>
          <w:b/>
          <w:bCs/>
          <w:kern w:val="0"/>
          <w:sz w:val="24"/>
        </w:rPr>
      </w:pPr>
      <w:r>
        <w:rPr>
          <w:rFonts w:hint="eastAsia" w:ascii="宋体" w:hAnsi="宋体" w:cs="仿宋_GB2312+FPEF"/>
          <w:b/>
          <w:bCs/>
          <w:kern w:val="0"/>
          <w:sz w:val="24"/>
          <w:lang w:eastAsia="zh-CN"/>
        </w:rPr>
        <w:t>第四章</w:t>
      </w:r>
      <w:r>
        <w:rPr>
          <w:rFonts w:hint="eastAsia" w:ascii="宋体" w:hAnsi="宋体" w:cs="仿宋_GB2312+FPEF"/>
          <w:b/>
          <w:bCs/>
          <w:kern w:val="0"/>
          <w:sz w:val="24"/>
          <w:lang w:val="en-US" w:eastAsia="zh-CN"/>
        </w:rPr>
        <w:t xml:space="preserve">  评审组织与程序</w:t>
      </w:r>
    </w:p>
    <w:p>
      <w:pPr>
        <w:pStyle w:val="4"/>
        <w:numPr>
          <w:ilvl w:val="0"/>
          <w:numId w:val="0"/>
        </w:numPr>
        <w:spacing w:before="0" w:beforeAutospacing="0" w:after="0" w:afterAutospacing="0" w:line="360" w:lineRule="auto"/>
        <w:ind w:firstLine="480" w:firstLineChars="200"/>
        <w:rPr>
          <w:rFonts w:hint="eastAsia"/>
        </w:rPr>
      </w:pPr>
      <w:r>
        <w:rPr>
          <w:rFonts w:hint="eastAsia" w:ascii="宋体" w:hAnsi="宋体" w:cs="仿宋_GB2312+FPEF"/>
          <w:kern w:val="0"/>
          <w:sz w:val="24"/>
          <w:lang w:eastAsia="zh-CN"/>
        </w:rPr>
        <w:t>第八条</w:t>
      </w:r>
      <w:r>
        <w:rPr>
          <w:rFonts w:hint="eastAsia" w:cs="仿宋_GB2312+FPEF"/>
          <w:kern w:val="0"/>
          <w:sz w:val="24"/>
          <w:lang w:val="en-US" w:eastAsia="zh-CN"/>
        </w:rPr>
        <w:t xml:space="preserve">  </w:t>
      </w:r>
      <w:r>
        <w:rPr>
          <w:rFonts w:hint="eastAsia"/>
        </w:rPr>
        <w:t>学</w:t>
      </w:r>
      <w:r>
        <w:t>院成立由</w:t>
      </w:r>
      <w:r>
        <w:rPr>
          <w:rFonts w:hint="eastAsia"/>
        </w:rPr>
        <w:t>主要领导任主任委员，分管领导任副主任委员，研究生导师代表、研究生辅导员、研究生教学秘书、研究生代表任委员的评审委员会。评审委员会名单报学校</w:t>
      </w:r>
      <w:r>
        <w:rPr>
          <w:rFonts w:hint="eastAsia"/>
          <w:lang w:eastAsia="zh-CN"/>
        </w:rPr>
        <w:t>研究生工作部备案</w:t>
      </w:r>
      <w:r>
        <w:rPr>
          <w:rFonts w:hint="eastAsia"/>
        </w:rPr>
        <w:t>。</w:t>
      </w:r>
    </w:p>
    <w:p>
      <w:pPr>
        <w:pStyle w:val="4"/>
        <w:numPr>
          <w:ilvl w:val="0"/>
          <w:numId w:val="0"/>
        </w:numPr>
        <w:spacing w:before="0" w:beforeAutospacing="0" w:after="0" w:afterAutospacing="0" w:line="360" w:lineRule="auto"/>
        <w:ind w:firstLine="480" w:firstLineChars="200"/>
        <w:rPr>
          <w:rFonts w:hint="eastAsia"/>
          <w:lang w:val="en-US" w:eastAsia="zh-CN"/>
        </w:rPr>
      </w:pPr>
      <w:r>
        <w:rPr>
          <w:rFonts w:hint="eastAsia"/>
          <w:lang w:eastAsia="zh-CN"/>
        </w:rPr>
        <w:t>第九条</w:t>
      </w:r>
      <w:r>
        <w:rPr>
          <w:rFonts w:hint="eastAsia"/>
          <w:lang w:val="en-US" w:eastAsia="zh-CN"/>
        </w:rPr>
        <w:t xml:space="preserve">  研究生新生学业奖学金的发放工作由研究生工作部负责，研究生学年学业奖学金由学院进行初评，学校审定。</w:t>
      </w:r>
    </w:p>
    <w:p>
      <w:pPr>
        <w:numPr>
          <w:ilvl w:val="0"/>
          <w:numId w:val="5"/>
        </w:numPr>
        <w:autoSpaceDE w:val="0"/>
        <w:autoSpaceDN w:val="0"/>
        <w:adjustRightInd w:val="0"/>
        <w:spacing w:line="360" w:lineRule="auto"/>
        <w:ind w:firstLine="480" w:firstLineChars="200"/>
        <w:jc w:val="left"/>
        <w:rPr>
          <w:rFonts w:hint="eastAsia" w:ascii="宋体" w:hAnsi="宋体" w:eastAsiaTheme="minorEastAsia" w:cstheme="minorBidi"/>
          <w:kern w:val="0"/>
          <w:sz w:val="24"/>
          <w:szCs w:val="24"/>
          <w:lang w:val="en-US" w:eastAsia="zh-CN" w:bidi="ar-SA"/>
        </w:rPr>
      </w:pPr>
      <w:r>
        <w:rPr>
          <w:rFonts w:hint="eastAsia" w:ascii="宋体" w:hAnsi="宋体" w:eastAsiaTheme="minorEastAsia" w:cstheme="minorBidi"/>
          <w:kern w:val="0"/>
          <w:sz w:val="24"/>
          <w:szCs w:val="24"/>
          <w:lang w:val="en-US" w:eastAsia="zh-CN" w:bidi="ar-SA"/>
        </w:rPr>
        <w:t xml:space="preserve"> 根据学校年度划拨学业奖学金总额，学院评审委员会按比例设置各奖项可评选数量。</w:t>
      </w:r>
    </w:p>
    <w:p>
      <w:pPr>
        <w:numPr>
          <w:ilvl w:val="0"/>
          <w:numId w:val="5"/>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研究生</w:t>
      </w:r>
      <w:r>
        <w:rPr>
          <w:rFonts w:hint="eastAsia" w:ascii="宋体" w:hAnsi="宋体" w:cs="仿宋_GB2312+FPEF"/>
          <w:kern w:val="0"/>
          <w:sz w:val="24"/>
          <w:lang w:eastAsia="zh-CN"/>
        </w:rPr>
        <w:t>学年</w:t>
      </w:r>
      <w:r>
        <w:rPr>
          <w:rFonts w:hint="eastAsia" w:ascii="宋体" w:hAnsi="宋体" w:cs="仿宋_GB2312+FPEF"/>
          <w:kern w:val="0"/>
          <w:sz w:val="24"/>
        </w:rPr>
        <w:t>学业奖学金评审采用个人申报制。即学生本人在综合测评基础上，根据奖学金评选条件和个人实际进行自愿申报。凡不申报者，视为自动放弃评选资格。</w:t>
      </w:r>
    </w:p>
    <w:p>
      <w:pPr>
        <w:numPr>
          <w:ilvl w:val="0"/>
          <w:numId w:val="5"/>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符合</w:t>
      </w:r>
      <w:r>
        <w:rPr>
          <w:rFonts w:hint="eastAsia" w:ascii="宋体" w:hAnsi="宋体" w:cs="仿宋_GB2312+FPEF"/>
          <w:kern w:val="0"/>
          <w:sz w:val="24"/>
          <w:lang w:eastAsia="zh-CN"/>
        </w:rPr>
        <w:t>研究生学年学业奖学金</w:t>
      </w:r>
      <w:r>
        <w:rPr>
          <w:rFonts w:hint="eastAsia" w:ascii="宋体" w:hAnsi="宋体" w:cs="仿宋_GB2312+FPEF"/>
          <w:kern w:val="0"/>
          <w:sz w:val="24"/>
        </w:rPr>
        <w:t>申请条件的同学，根据其申报类型分别进行评审。申请创新型奖学金的同学，由学院奖学金评审小组根据其创新模块的总分排名先后顺序评定奖学金等级。申请综合型奖学金的同学，由学院奖学金评审小组根据其德育、课业、素质拓展三个模块的总分排名先后顺序评定奖学金等级。</w:t>
      </w:r>
    </w:p>
    <w:p>
      <w:pPr>
        <w:numPr>
          <w:ilvl w:val="0"/>
          <w:numId w:val="5"/>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学院研究生学业奖学金名单确定后，由评审小组负责，在学院内公示3天，公示无异议后，提交校研究生学业奖学金评审领导小组审定并公示</w:t>
      </w:r>
      <w:r>
        <w:rPr>
          <w:rFonts w:hint="eastAsia" w:ascii="宋体" w:hAnsi="宋体" w:cs="仿宋_GB2312+FPEF"/>
          <w:kern w:val="0"/>
          <w:sz w:val="24"/>
          <w:lang w:eastAsia="zh-CN"/>
        </w:rPr>
        <w:t>。</w:t>
      </w:r>
    </w:p>
    <w:p>
      <w:pPr>
        <w:numPr>
          <w:ilvl w:val="0"/>
          <w:numId w:val="5"/>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对研究生学业奖学金评审结果有异议者，可在学院公示期内向学院评审委员会提出申诉，学院评审委员会应在3个工作日内予以答复。如申诉人对学院做出的答复仍有异议，可在学校公示阶段向校研究生学业奖学金评审领导小组提请裁决。</w:t>
      </w:r>
    </w:p>
    <w:p>
      <w:pPr>
        <w:numPr>
          <w:ilvl w:val="0"/>
          <w:numId w:val="5"/>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本办法学院学生工作办公室负责解释。</w:t>
      </w:r>
    </w:p>
    <w:p>
      <w:pPr>
        <w:numPr>
          <w:ilvl w:val="0"/>
          <w:numId w:val="5"/>
        </w:numPr>
        <w:autoSpaceDE w:val="0"/>
        <w:autoSpaceDN w:val="0"/>
        <w:adjustRightInd w:val="0"/>
        <w:spacing w:line="360" w:lineRule="auto"/>
        <w:ind w:firstLine="480" w:firstLineChars="200"/>
        <w:jc w:val="left"/>
        <w:rPr>
          <w:rFonts w:hint="eastAsia" w:ascii="宋体" w:hAnsi="宋体" w:cs="仿宋_GB2312+FPEF"/>
          <w:kern w:val="0"/>
          <w:sz w:val="24"/>
        </w:rPr>
      </w:pPr>
      <w:r>
        <w:rPr>
          <w:rFonts w:hint="eastAsia" w:ascii="宋体" w:hAnsi="宋体" w:cs="仿宋_GB2312+FPEF"/>
          <w:kern w:val="0"/>
          <w:sz w:val="24"/>
          <w:lang w:val="en-US" w:eastAsia="zh-CN"/>
        </w:rPr>
        <w:t xml:space="preserve"> </w:t>
      </w:r>
      <w:r>
        <w:rPr>
          <w:rFonts w:hint="eastAsia" w:ascii="宋体" w:hAnsi="宋体" w:cs="仿宋_GB2312+FPEF"/>
          <w:kern w:val="0"/>
          <w:sz w:val="24"/>
        </w:rPr>
        <w:t>本办法自发布之日起实行。</w:t>
      </w:r>
    </w:p>
    <w:p>
      <w:pPr>
        <w:numPr>
          <w:ilvl w:val="0"/>
          <w:numId w:val="0"/>
        </w:numPr>
        <w:autoSpaceDE w:val="0"/>
        <w:autoSpaceDN w:val="0"/>
        <w:adjustRightInd w:val="0"/>
        <w:spacing w:line="360" w:lineRule="auto"/>
        <w:jc w:val="left"/>
        <w:rPr>
          <w:rFonts w:hint="eastAsia" w:ascii="宋体" w:hAnsi="宋体" w:eastAsia="宋体" w:cs="仿宋_GB2312+FPEF"/>
          <w:kern w:val="0"/>
          <w:sz w:val="24"/>
          <w:lang w:val="en-US" w:eastAsia="zh-CN"/>
        </w:rPr>
      </w:pPr>
      <w:r>
        <w:rPr>
          <w:rFonts w:hint="eastAsia" w:ascii="宋体" w:hAnsi="宋体" w:cs="仿宋_GB2312+FPEF"/>
          <w:kern w:val="0"/>
          <w:sz w:val="24"/>
          <w:lang w:val="en-US" w:eastAsia="zh-CN"/>
        </w:rPr>
        <w:t xml:space="preserve">    </w:t>
      </w:r>
    </w:p>
    <w:p>
      <w:pPr>
        <w:autoSpaceDE w:val="0"/>
        <w:autoSpaceDN w:val="0"/>
        <w:adjustRightInd w:val="0"/>
        <w:spacing w:line="360" w:lineRule="auto"/>
        <w:ind w:firstLine="480" w:firstLineChars="200"/>
        <w:jc w:val="left"/>
        <w:rPr>
          <w:rFonts w:hint="eastAsia" w:ascii="宋体" w:hAnsi="宋体" w:cs="仿宋_GB2312+FPEF"/>
          <w:kern w:val="0"/>
          <w:sz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FPEF">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BFE85"/>
    <w:multiLevelType w:val="singleLevel"/>
    <w:tmpl w:val="59FBFE85"/>
    <w:lvl w:ilvl="0" w:tentative="0">
      <w:start w:val="1"/>
      <w:numFmt w:val="chineseCounting"/>
      <w:suff w:val="space"/>
      <w:lvlText w:val="第%1章"/>
      <w:lvlJc w:val="left"/>
    </w:lvl>
  </w:abstractNum>
  <w:abstractNum w:abstractNumId="1">
    <w:nsid w:val="59FBFF8E"/>
    <w:multiLevelType w:val="singleLevel"/>
    <w:tmpl w:val="59FBFF8E"/>
    <w:lvl w:ilvl="0" w:tentative="0">
      <w:start w:val="1"/>
      <w:numFmt w:val="chineseCounting"/>
      <w:suff w:val="space"/>
      <w:lvlText w:val="第%1条"/>
      <w:lvlJc w:val="left"/>
    </w:lvl>
  </w:abstractNum>
  <w:abstractNum w:abstractNumId="2">
    <w:nsid w:val="59FC2C21"/>
    <w:multiLevelType w:val="singleLevel"/>
    <w:tmpl w:val="59FC2C21"/>
    <w:lvl w:ilvl="0" w:tentative="0">
      <w:start w:val="11"/>
      <w:numFmt w:val="chineseCounting"/>
      <w:suff w:val="space"/>
      <w:lvlText w:val="第%1条"/>
      <w:lvlJc w:val="left"/>
    </w:lvl>
  </w:abstractNum>
  <w:abstractNum w:abstractNumId="3">
    <w:nsid w:val="59FE6F94"/>
    <w:multiLevelType w:val="singleLevel"/>
    <w:tmpl w:val="59FE6F94"/>
    <w:lvl w:ilvl="0" w:tentative="0">
      <w:start w:val="2"/>
      <w:numFmt w:val="chineseCounting"/>
      <w:suff w:val="nothing"/>
      <w:lvlText w:val="（%1）"/>
      <w:lvlJc w:val="left"/>
    </w:lvl>
  </w:abstractNum>
  <w:abstractNum w:abstractNumId="4">
    <w:nsid w:val="59FE7295"/>
    <w:multiLevelType w:val="singleLevel"/>
    <w:tmpl w:val="59FE7295"/>
    <w:lvl w:ilvl="0" w:tentative="0">
      <w:start w:val="3"/>
      <w:numFmt w:val="chineseCounting"/>
      <w:suff w:val="space"/>
      <w:lvlText w:val="第%1章"/>
      <w:lvlJc w:val="left"/>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B4239"/>
    <w:rsid w:val="0C894C37"/>
    <w:rsid w:val="10C325AF"/>
    <w:rsid w:val="11CE09AE"/>
    <w:rsid w:val="11FE1889"/>
    <w:rsid w:val="13045FAC"/>
    <w:rsid w:val="156E5860"/>
    <w:rsid w:val="16B0502F"/>
    <w:rsid w:val="18441F0F"/>
    <w:rsid w:val="18D04530"/>
    <w:rsid w:val="1DBE47FD"/>
    <w:rsid w:val="21BF4A52"/>
    <w:rsid w:val="226E273D"/>
    <w:rsid w:val="2DAC1499"/>
    <w:rsid w:val="41632D7A"/>
    <w:rsid w:val="45D472E6"/>
    <w:rsid w:val="48A03ADB"/>
    <w:rsid w:val="4BAA7FB0"/>
    <w:rsid w:val="4D1B2992"/>
    <w:rsid w:val="4DA049FE"/>
    <w:rsid w:val="56915142"/>
    <w:rsid w:val="59292C1B"/>
    <w:rsid w:val="64154ECC"/>
    <w:rsid w:val="64B30B27"/>
    <w:rsid w:val="6F072F1B"/>
    <w:rsid w:val="71BB4239"/>
    <w:rsid w:val="799028D8"/>
    <w:rsid w:val="7DAB7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2017-11-03T05:17:00Z</dcterms:created>
  <dc:creator>ZJGS-046</dc:creator>
  <cp:lastModifiedBy>陈晓艺</cp:lastModifiedBy>
  <cp:lastPrinted>2017-11-07T08:44:00Z</cp:lastPrinted>
  <dcterms:modified xsi:type="dcterms:W3CDTF">2018-09-17T04:07:48Z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