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使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用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手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册</w:t>
      </w:r>
    </w:p>
    <w:p>
      <w:pPr>
        <w:jc w:val="center"/>
        <w:rPr>
          <w:rFonts w:ascii="楷体_GB2312" w:eastAsia="楷体_GB2312"/>
          <w:b/>
          <w:sz w:val="36"/>
          <w:szCs w:val="72"/>
        </w:rPr>
      </w:pPr>
      <w:r>
        <w:rPr>
          <w:rFonts w:hint="eastAsia" w:ascii="楷体_GB2312" w:eastAsia="楷体_GB2312"/>
          <w:b/>
          <w:sz w:val="36"/>
          <w:szCs w:val="72"/>
        </w:rPr>
        <w:t>（适用于研究生用户）</w:t>
      </w:r>
    </w:p>
    <w:p>
      <w:pPr>
        <w:jc w:val="center"/>
        <w:rPr>
          <w:rFonts w:ascii="楷体_GB2312" w:eastAsia="楷体_GB2312"/>
          <w:sz w:val="36"/>
          <w:szCs w:val="72"/>
        </w:rPr>
      </w:pPr>
    </w:p>
    <w:p>
      <w:pPr>
        <w:rPr>
          <w:rFonts w:ascii="楷体_GB2312" w:eastAsia="楷体_GB2312"/>
          <w:sz w:val="36"/>
          <w:szCs w:val="72"/>
        </w:rPr>
      </w:pPr>
    </w:p>
    <w:p>
      <w:pPr>
        <w:jc w:val="center"/>
        <w:rPr>
          <w:rFonts w:ascii="楷体_GB2312" w:eastAsia="楷体_GB2312"/>
          <w:sz w:val="36"/>
          <w:szCs w:val="72"/>
        </w:rPr>
      </w:pPr>
    </w:p>
    <w:p>
      <w:pPr>
        <w:jc w:val="center"/>
        <w:rPr>
          <w:rFonts w:ascii="楷体_GB2312" w:eastAsia="楷体_GB2312"/>
          <w:sz w:val="36"/>
          <w:szCs w:val="72"/>
        </w:rPr>
      </w:pPr>
      <w:r>
        <w:rPr>
          <w:rFonts w:hint="eastAsia" w:ascii="楷体_GB2312" w:eastAsia="楷体_GB2312"/>
          <w:sz w:val="36"/>
          <w:szCs w:val="72"/>
        </w:rPr>
        <w:t>浙江工商大学研究生院</w:t>
      </w:r>
    </w:p>
    <w:p>
      <w:pPr>
        <w:jc w:val="center"/>
        <w:rPr>
          <w:rFonts w:hint="eastAsia" w:ascii="楷体_GB2312" w:eastAsia="楷体_GB2312"/>
          <w:sz w:val="36"/>
          <w:szCs w:val="72"/>
        </w:rPr>
      </w:pPr>
      <w:r>
        <w:rPr>
          <w:rFonts w:hint="eastAsia" w:ascii="楷体_GB2312" w:eastAsia="楷体_GB2312"/>
          <w:sz w:val="36"/>
          <w:szCs w:val="72"/>
        </w:rPr>
        <w:t>二〇一六年九月</w:t>
      </w:r>
    </w:p>
    <w:p>
      <w:pPr>
        <w:jc w:val="center"/>
        <w:rPr>
          <w:rFonts w:hint="eastAsia" w:ascii="楷体_GB2312" w:eastAsia="楷体_GB2312"/>
          <w:sz w:val="36"/>
          <w:szCs w:val="72"/>
        </w:rPr>
      </w:pPr>
    </w:p>
    <w:p>
      <w:pPr>
        <w:jc w:val="center"/>
        <w:rPr>
          <w:rFonts w:hint="eastAsia" w:ascii="楷体_GB2312" w:eastAsia="楷体_GB2312"/>
          <w:sz w:val="36"/>
          <w:szCs w:val="72"/>
        </w:rPr>
      </w:pPr>
    </w:p>
    <w:p>
      <w:pPr>
        <w:jc w:val="center"/>
        <w:rPr>
          <w:rFonts w:hint="eastAsia" w:ascii="楷体_GB2312" w:eastAsia="楷体_GB2312"/>
          <w:sz w:val="36"/>
          <w:szCs w:val="72"/>
        </w:rPr>
      </w:pPr>
    </w:p>
    <w:p>
      <w:pPr>
        <w:jc w:val="center"/>
        <w:rPr>
          <w:rFonts w:hint="eastAsia" w:ascii="楷体_GB2312" w:eastAsia="楷体_GB2312"/>
          <w:sz w:val="36"/>
          <w:szCs w:val="72"/>
        </w:rPr>
      </w:pPr>
    </w:p>
    <w:p>
      <w:pPr>
        <w:jc w:val="center"/>
        <w:rPr>
          <w:rFonts w:hint="eastAsia" w:ascii="楷体_GB2312" w:eastAsia="楷体_GB2312"/>
          <w:sz w:val="36"/>
          <w:szCs w:val="72"/>
        </w:rPr>
      </w:pPr>
    </w:p>
    <w:p>
      <w:pPr>
        <w:jc w:val="both"/>
        <w:rPr>
          <w:rFonts w:hint="eastAsia" w:ascii="楷体_GB2312" w:eastAsia="楷体_GB2312"/>
          <w:sz w:val="36"/>
          <w:szCs w:val="72"/>
        </w:rPr>
      </w:pPr>
      <w:bookmarkStart w:id="0" w:name="_GoBack"/>
      <w:bookmarkEnd w:id="0"/>
    </w:p>
    <w:p>
      <w:pPr>
        <w:spacing w:afterLines="100"/>
        <w:jc w:val="center"/>
        <w:rPr>
          <w:rFonts w:ascii="方正小标宋简体" w:eastAsia="方正小标宋简体"/>
          <w:sz w:val="40"/>
          <w:szCs w:val="72"/>
        </w:rPr>
      </w:pPr>
      <w:r>
        <w:rPr>
          <w:rFonts w:hint="eastAsia" w:ascii="方正小标宋简体" w:eastAsia="方正小标宋简体"/>
          <w:sz w:val="40"/>
          <w:szCs w:val="72"/>
        </w:rPr>
        <w:t>浙江工商大学研究生综合评奖信息系统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为实现教育信息化的管理，提升日常工作质量，减轻学校、学院（部门）、学生的压力，由学校研究生院承担完成的“浙江工商大学研究生综合评奖信息系统”已在学校范围内正式发布运行。现将有关操作情况说明如下：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一、系统信息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1.访问网址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外网地址：</w:t>
      </w:r>
      <w:r>
        <w:fldChar w:fldCharType="begin"/>
      </w:r>
      <w:r>
        <w:instrText xml:space="preserve"> HYPERLINK "http://124.160.64.191:11189" </w:instrText>
      </w:r>
      <w:r>
        <w:fldChar w:fldCharType="separate"/>
      </w:r>
      <w:r>
        <w:rPr>
          <w:rStyle w:val="7"/>
          <w:rFonts w:ascii="宋体" w:hAnsi="宋体"/>
          <w:sz w:val="28"/>
          <w:szCs w:val="21"/>
        </w:rPr>
        <w:t>http://124.160.64.191:11189</w:t>
      </w:r>
      <w:r>
        <w:rPr>
          <w:rStyle w:val="7"/>
          <w:rFonts w:ascii="宋体" w:hAnsi="宋体"/>
          <w:sz w:val="28"/>
          <w:szCs w:val="21"/>
        </w:rPr>
        <w:fldChar w:fldCharType="end"/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内网地址：</w:t>
      </w:r>
      <w:r>
        <w:fldChar w:fldCharType="begin"/>
      </w:r>
      <w:r>
        <w:instrText xml:space="preserve"> HYPERLINK "http://10.11.111.1:89" </w:instrText>
      </w:r>
      <w:r>
        <w:fldChar w:fldCharType="separate"/>
      </w:r>
      <w:r>
        <w:rPr>
          <w:rStyle w:val="7"/>
          <w:rFonts w:ascii="宋体" w:hAnsi="宋体"/>
          <w:sz w:val="28"/>
          <w:szCs w:val="21"/>
        </w:rPr>
        <w:t>http://10.11.111.1:89</w:t>
      </w:r>
      <w:r>
        <w:rPr>
          <w:rStyle w:val="7"/>
          <w:rFonts w:ascii="宋体" w:hAnsi="宋体"/>
          <w:sz w:val="28"/>
          <w:szCs w:val="21"/>
        </w:rPr>
        <w:fldChar w:fldCharType="end"/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2.浏览器使用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建议使用：chrome浏览器、360浏览器（极速模式）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3.研究生用户登录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登录名：学号。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登录密码：身份证后六位（含字母大写）。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首次登陆系统，请修改和完善个人信息、上传个人电子照片。如需修改密码，请在“系统设置”中点击“修改密码”。</w:t>
      </w:r>
    </w:p>
    <w:p>
      <w:pPr>
        <w:widowControl/>
        <w:jc w:val="left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br w:type="page"/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二、系统基本情况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在介绍系统业务操作之前，首先要对系统工作流程有一个整体的认识。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1.登录界面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系统无需注册，所有学生信息由学校研究生培养系统批量导入，学生按照上述说明的登录名与密码登录即可使用。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886200" cy="24288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7136" cy="24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2.业务系统结构布局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系统各权限用户登录后界面布局完全一致，但因功能权限、数据权限等不同，在功能菜单区、业务处理区显示数据内容会不同。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5267325" cy="26574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（1）系统标识区：放置软件授权单位标识信息。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（2）登录信息区：授权用户登录信息，可用于注销、退出系统。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（3）功能菜单区：业务功能模块菜单选择，分为基础档案、业务功能和系统管理。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（4）业务处理区：用户点击“功能菜单区”，工作窗口将在主工作区打开。其结构为：</w:t>
      </w:r>
    </w:p>
    <w:p>
      <w:pPr>
        <w:tabs>
          <w:tab w:val="left" w:pos="2552"/>
        </w:tabs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5274310" cy="906145"/>
            <wp:effectExtent l="1905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</w:p>
    <w:p>
      <w:pPr>
        <w:widowControl/>
        <w:jc w:val="left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br w:type="page"/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三、系统功能介绍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作为研究生用户，系统业务功能主要分为数据录入、评审结果查询、综合测评查询、各类奖学金申报以及相关可查看的公示信息等。</w:t>
      </w:r>
    </w:p>
    <w:p>
      <w:pPr>
        <w:tabs>
          <w:tab w:val="left" w:pos="2552"/>
        </w:tabs>
        <w:ind w:firstLine="420" w:firstLineChars="200"/>
        <w:jc w:val="center"/>
      </w:pPr>
      <w:r>
        <w:object>
          <v:shape id="_x0000_i1025" o:spt="75" type="#_x0000_t75" style="height:225.75pt;width:186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7">
            <o:LockedField>false</o:LockedField>
          </o:OLEObject>
        </w:objec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1.基础档案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根据综合测评指标体系，基础档案由德育模块、智育模块、素质拓展模块和创新模块组成，各模块根据研究生相关信息，已细化填报内容。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（1）德育模块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德育模块主要考察研究生参与社会公益活动、践行社会主义核心价值观等方面的表现，由如下内容组成：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1800225" cy="140970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A.公益活动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876675" cy="2366645"/>
            <wp:effectExtent l="1905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B.思想品德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由学院添加，研究生只可查看评分结果。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5274310" cy="2125345"/>
            <wp:effectExtent l="1905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C.扣分情况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是指在测评学年受到纪律处分、学校或学院通报批评的研究生，由学院添加，研究生只可查看评分结果。</w:t>
      </w:r>
    </w:p>
    <w:p>
      <w:pPr>
        <w:tabs>
          <w:tab w:val="left" w:pos="2552"/>
        </w:tabs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5274310" cy="989330"/>
            <wp:effectExtent l="1905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8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（2）智育模块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智育模块主要考察研究生在测评学年内所修课程的学习情况。</w:t>
      </w:r>
      <w:r>
        <w:rPr>
          <w:rFonts w:hint="eastAsia" w:ascii="宋体" w:hAnsi="宋体"/>
          <w:sz w:val="28"/>
          <w:szCs w:val="21"/>
          <w:lang w:val="en-US" w:eastAsia="zh-CN"/>
        </w:rPr>
        <w:t>由</w:t>
      </w:r>
      <w:r>
        <w:rPr>
          <w:rFonts w:hint="eastAsia" w:ascii="宋体" w:hAnsi="宋体"/>
          <w:sz w:val="28"/>
          <w:szCs w:val="21"/>
        </w:rPr>
        <w:t>研究院统一批量导入，学院、研究生只可查看得分情况。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5274310" cy="897890"/>
            <wp:effectExtent l="1905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（3）素质拓展模块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素质拓展模块重在考察研究生在综合素质提升和拓展方面的情况，主要包括研究生在测评学年内的任职情况，参加创业实践活动、文体活动以及经学校认定的校内外挂职方面的情况。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1514475" cy="1276350"/>
            <wp:effectExtent l="19050" t="0" r="952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A.任职情况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47795" cy="2390775"/>
            <wp:effectExtent l="1905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B.创业活动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33825" cy="2400300"/>
            <wp:effectExtent l="1905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C.比赛获奖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测评年度内在市级（含）以上层次政府部门举办的文体比赛、各类技能竞赛、创业计划竞赛等赛事中获得名次。由研究生本人添加，经学院审核后，系统给予相应分值。填报时，须提供电子版证明材料。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876675" cy="2366645"/>
            <wp:effectExtent l="1905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D.荣誉表彰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在测评学年内研究生获得一定层次的校内外表彰。由研究生本人添加，经学院审核后，系统给予相应分值。填报时，须提供电子版证明材料。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14775" cy="2362200"/>
            <wp:effectExtent l="19050" t="0" r="9525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（4）创新模块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主要考察研究生在测评学年内取得的科研成果情况，包括已发表学术论文和专著、已获得专利授权，主持或参与课题研究情况,参加学科竞赛、学术科技作品竞赛获奖情况，以及参加教育部学位与研究生教育发展中心开展的“全国研究生创新实践系列活动”获奖情况。</w:t>
      </w:r>
    </w:p>
    <w:p>
      <w:pPr>
        <w:tabs>
          <w:tab w:val="left" w:pos="2552"/>
        </w:tabs>
        <w:ind w:firstLine="560" w:firstLineChars="200"/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1362075" cy="1495425"/>
            <wp:effectExtent l="19050" t="0" r="9525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A.论文著作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测评年度的论文著作成果的登记。对应的期刊库为学校科研处发布的期刊库信息，并已匹配关联。同时，系统会自动匹配期刊等级，若存在科研处定义级别与学院定义级别不同时，可在“刊物级别”处，重新定义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著作成果按照论文格式填写，对应级别参照学校科研处标准。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05250" cy="2366645"/>
            <wp:effectExtent l="1905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6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814445" cy="2352675"/>
            <wp:effectExtent l="19050" t="0" r="0" b="0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B.专利授权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09695" cy="2376170"/>
            <wp:effectExtent l="1905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237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C.科研项目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05250" cy="2390775"/>
            <wp:effectExtent l="1905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C.科研获奖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24300" cy="2404745"/>
            <wp:effectExtent l="1905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40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D.其他创新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其他创新成果登记。由研究生本人添加，经学院审核后，系统给予相应分值。填报时，须提供电子版证明材料。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3924300" cy="2395220"/>
            <wp:effectExtent l="1905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9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2.业务功能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（1）研究生综合测评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研究生综合测评是对研究生各方面素质的综合评价，测评结果是学校评选研究生国家奖学金、学业奖学金和优秀研究生的主要依据。在规定期限内不按要求参评的研究生，其测评结果以“0”分计算，不得申报研究生国家奖学金、学业奖学金和优秀研究生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经学院、研究生院审核通过的基础档案成果信息，方可列入研究生综合测评计算范围。审核未通过或未审核的成果为无效数据。</w:t>
      </w:r>
    </w:p>
    <w:p>
      <w:pPr>
        <w:tabs>
          <w:tab w:val="left" w:pos="2552"/>
        </w:tabs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drawing>
          <wp:inline distT="0" distB="0" distL="0" distR="0">
            <wp:extent cx="5274310" cy="2712085"/>
            <wp:effectExtent l="19050" t="0" r="254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点击测评年度得分情况，查看明细情况。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5274310" cy="2618105"/>
            <wp:effectExtent l="19050" t="0" r="254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（2）奖学金申请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研究生奖学金分为国家奖学金、学业奖学金以及专项奖学金，其中专项奖学金又分为贝因美奖学金、金家麟奖学金、汪贤进奖学金和温商奖学金等。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5274310" cy="2993390"/>
            <wp:effectExtent l="19050" t="0" r="2540" b="0"/>
            <wp:docPr id="75" name="图片 75" descr="d:\我的文档\Tencent Files\5768048\Image\C2C\YHK1I__K~5PXBJL~YLH4[}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d:\我的文档\Tencent Files\5768048\Image\C2C\YHK1I__K~5PXBJL~YLH4[}B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以综合测评相同，经学院、研究生院审核通过数据为有效数据，可直接通过选择添加。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非成果性信息，即非通用性信息，须研究生另行填报。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A.贝因美奖学金</w:t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导师、学位最低分、必修课最低分、个人事迹等须研究生补充填写。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4014470" cy="2333625"/>
            <wp:effectExtent l="19050" t="0" r="4762" b="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4788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研究生在添加论文、课题、获奖、其他成果时，均需在“基础档案”成果信息中已被学院、研究生院审核通过数据。新增数据，请在“基础档案”中添加成果，并经学院、研究生院审核通过后，方可使用。</w:t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933825" cy="1933575"/>
            <wp:effectExtent l="19050" t="0" r="9525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938270" cy="1938020"/>
            <wp:effectExtent l="19050" t="0" r="4762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8588" cy="193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924300" cy="1933575"/>
            <wp:effectExtent l="19050" t="0" r="0" b="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jc w:val="center"/>
        <w:rPr>
          <w:rFonts w:ascii="宋体" w:hAnsi="宋体"/>
          <w:sz w:val="28"/>
          <w:szCs w:val="21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947795" cy="1933575"/>
            <wp:effectExtent l="19050" t="0" r="0" b="0"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研究生可通过点击“审批信息”，查看审批过程情况。</w:t>
      </w:r>
    </w:p>
    <w:p>
      <w:pPr>
        <w:tabs>
          <w:tab w:val="left" w:pos="2552"/>
        </w:tabs>
        <w:jc w:val="center"/>
        <w:rPr>
          <w:sz w:val="28"/>
        </w:rPr>
      </w:pPr>
      <w:r>
        <w:rPr>
          <w:rFonts w:ascii="宋体" w:hAnsi="宋体"/>
          <w:sz w:val="28"/>
          <w:szCs w:val="21"/>
        </w:rPr>
        <w:drawing>
          <wp:inline distT="0" distB="0" distL="0" distR="0">
            <wp:extent cx="3895725" cy="1914525"/>
            <wp:effectExtent l="19050" t="0" r="9525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2"/>
        </w:tabs>
        <w:jc w:val="center"/>
        <w:rPr>
          <w:sz w:val="28"/>
        </w:rPr>
      </w:pPr>
    </w:p>
    <w:p>
      <w:pPr>
        <w:tabs>
          <w:tab w:val="left" w:pos="2552"/>
        </w:tabs>
        <w:ind w:firstLine="560" w:firstLineChars="200"/>
        <w:jc w:val="lef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四、操作流程说明</w:t>
      </w:r>
    </w:p>
    <w:p>
      <w:pPr>
        <w:jc w:val="center"/>
        <w:rPr>
          <w:sz w:val="28"/>
        </w:rPr>
      </w:pPr>
      <w:r>
        <w:object>
          <v:shape id="_x0000_i1026" o:spt="75" type="#_x0000_t75" style="height:292.5pt;width:415.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35">
            <o:LockedField>false</o:LockedField>
          </o:OLEObject>
        </w:object>
      </w:r>
    </w:p>
    <w:p>
      <w:pPr>
        <w:ind w:left="420"/>
        <w:rPr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420"/>
        <w:jc w:val="center"/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object>
          <v:shape id="_x0000_i1027" o:spt="75" type="#_x0000_t75" style="height:363pt;width:679.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Visio.Drawing.11" ShapeID="_x0000_i1027" DrawAspect="Content" ObjectID="_1468075727" r:id="rId37">
            <o:LockedField>false</o:LockedField>
          </o:OLEObject>
        </w:object>
      </w:r>
    </w:p>
    <w:p>
      <w:pPr>
        <w:ind w:left="420"/>
        <w:jc w:val="center"/>
        <w:rPr>
          <w:rFonts w:ascii="宋体" w:hAnsi="宋体"/>
          <w:sz w:val="2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C60"/>
    <w:rsid w:val="000006CD"/>
    <w:rsid w:val="000155AD"/>
    <w:rsid w:val="000205F7"/>
    <w:rsid w:val="00082A19"/>
    <w:rsid w:val="000D39BC"/>
    <w:rsid w:val="000D742F"/>
    <w:rsid w:val="00100298"/>
    <w:rsid w:val="00125BDD"/>
    <w:rsid w:val="00134944"/>
    <w:rsid w:val="001D7B28"/>
    <w:rsid w:val="001F7056"/>
    <w:rsid w:val="00221EB4"/>
    <w:rsid w:val="002524BB"/>
    <w:rsid w:val="002B7300"/>
    <w:rsid w:val="002D4F13"/>
    <w:rsid w:val="002E5A48"/>
    <w:rsid w:val="0030645D"/>
    <w:rsid w:val="00380BB2"/>
    <w:rsid w:val="00422C60"/>
    <w:rsid w:val="005115C0"/>
    <w:rsid w:val="00540A83"/>
    <w:rsid w:val="00551111"/>
    <w:rsid w:val="00580740"/>
    <w:rsid w:val="005E0170"/>
    <w:rsid w:val="005F6F77"/>
    <w:rsid w:val="0070359D"/>
    <w:rsid w:val="00751408"/>
    <w:rsid w:val="007A72EA"/>
    <w:rsid w:val="007E45B0"/>
    <w:rsid w:val="00812D26"/>
    <w:rsid w:val="0084356D"/>
    <w:rsid w:val="00844EDC"/>
    <w:rsid w:val="0086295B"/>
    <w:rsid w:val="008D71B0"/>
    <w:rsid w:val="00933D19"/>
    <w:rsid w:val="00962F69"/>
    <w:rsid w:val="009763DC"/>
    <w:rsid w:val="009A25A1"/>
    <w:rsid w:val="009C4DAD"/>
    <w:rsid w:val="009D0344"/>
    <w:rsid w:val="00A100F9"/>
    <w:rsid w:val="00A15DCF"/>
    <w:rsid w:val="00A20BF9"/>
    <w:rsid w:val="00A8009B"/>
    <w:rsid w:val="00A93503"/>
    <w:rsid w:val="00AA206B"/>
    <w:rsid w:val="00AE2965"/>
    <w:rsid w:val="00B25822"/>
    <w:rsid w:val="00B5261B"/>
    <w:rsid w:val="00B70455"/>
    <w:rsid w:val="00B86A44"/>
    <w:rsid w:val="00BA30C7"/>
    <w:rsid w:val="00BD765B"/>
    <w:rsid w:val="00C50C58"/>
    <w:rsid w:val="00CA05DB"/>
    <w:rsid w:val="00CC44F0"/>
    <w:rsid w:val="00CF4F79"/>
    <w:rsid w:val="00DD343B"/>
    <w:rsid w:val="00E019D1"/>
    <w:rsid w:val="00E53315"/>
    <w:rsid w:val="00E9228B"/>
    <w:rsid w:val="00F00DFD"/>
    <w:rsid w:val="00F33431"/>
    <w:rsid w:val="00F703BE"/>
    <w:rsid w:val="00F81E56"/>
    <w:rsid w:val="00F82D42"/>
    <w:rsid w:val="00FD5F54"/>
    <w:rsid w:val="00FF18E4"/>
    <w:rsid w:val="0B527383"/>
    <w:rsid w:val="1FD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日期 Char"/>
    <w:basedOn w:val="6"/>
    <w:link w:val="2"/>
    <w:semiHidden/>
    <w:uiPriority w:val="99"/>
  </w:style>
  <w:style w:type="paragraph" w:styleId="10">
    <w:name w:val="List Paragraph"/>
    <w:basedOn w:val="1"/>
    <w:qFormat/>
    <w:uiPriority w:val="34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e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32.emf"/><Relationship Id="rId37" Type="http://schemas.openxmlformats.org/officeDocument/2006/relationships/oleObject" Target="embeddings/oleObject3.bin"/><Relationship Id="rId36" Type="http://schemas.openxmlformats.org/officeDocument/2006/relationships/image" Target="media/image31.emf"/><Relationship Id="rId35" Type="http://schemas.openxmlformats.org/officeDocument/2006/relationships/oleObject" Target="embeddings/oleObject2.bin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theme" Target="theme/theme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393</Words>
  <Characters>2242</Characters>
  <Lines>18</Lines>
  <Paragraphs>5</Paragraphs>
  <TotalTime>218</TotalTime>
  <ScaleCrop>false</ScaleCrop>
  <LinksUpToDate>false</LinksUpToDate>
  <CharactersWithSpaces>2630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2016-09-27T01:31:00Z</dcterms:created>
  <dc:creator>User</dc:creator>
  <cp:lastModifiedBy>陈晓艺</cp:lastModifiedBy>
  <dcterms:modified xsi:type="dcterms:W3CDTF">2018-09-19T03:14:15Z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