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5C" w:rsidRDefault="003625FF">
      <w:pPr>
        <w:pStyle w:val="a5"/>
        <w:widowControl/>
        <w:spacing w:beforeAutospacing="0" w:afterAutospacing="0" w:line="540" w:lineRule="atLeast"/>
        <w:jc w:val="center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000000"/>
          <w:sz w:val="28"/>
          <w:szCs w:val="28"/>
          <w:shd w:val="clear" w:color="auto" w:fill="FFFFFF"/>
        </w:rPr>
        <w:t>关于做好2022级研究生培养方案修（制）订工作的通知</w:t>
      </w: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各学院：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为适应研究生教育发展新形势，深化研究生教育改革，进一步提高研究生培养质量，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根据《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浙江工商大学全面推进卓越研究生教育发展的实施意见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》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浙商大校办函〔2021〕32号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）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>相关要求，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学校决定启动我校2022级研究生培养方案修订工作。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70"/>
        <w:rPr>
          <w:rFonts w:ascii="宋体" w:eastAsia="宋体" w:hAnsi="宋体" w:cs="宋体"/>
          <w:color w:val="000000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一、加强多方论证，制定科学的培养方案和规范的教学大纲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各学院应根据学科发展方向、人才培养目标和学位授予标准，结合浙江工商大学研究生培养工作相关规定（浙商大研〔2018〕362-365号）等文件精神，在2021年培养方案基础上，对本单位研究生培养方案进行充分论证、优化和完善。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学术型硕士研究生、专业学位硕士研究生、博士研究生、直博研究生培养方案均应单独制订。其中，2021年新增或调整招生专业的单位，应在充分调研基础上进行论证、制定相应学科（专业）研究生培养方案（详见附件1），经学院培养方案修订工作领导小组审议通过后报研究生院，同时提交调研报告、专家评审意见表、教学大纲、新开课程申请书等相关材料（详见附件2-7）。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70"/>
        <w:rPr>
          <w:rStyle w:val="a6"/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二、加强学科融合交叉，形成“数字+”人才培养特色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遵循研究生教育规律和人才成长规律，以新时代研究生教育改革要求和社会发展需求为导向，优化学科结构，推进多学科交叉融合，在培养方案研究方向、培养目标、课程设置、专业阅读书目等方面推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进创新培养新模式。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根据学校“数字+”学科行动计划，各学院应积极建设“数字+”课程，</w:t>
      </w:r>
      <w:r w:rsidRPr="00AA6D9F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融入“数字+”思维和元素，依据学院条件增加1-2门“数字+”专业课程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推动对应课程体系与教学模式改革，丰富教学手段，提升信息化教学水平。一是对研究生的知识体系提出新的要求，尤其跨学科知识学习能力、信息处理分析能力等提出了更高要求；二是积极探索“数字+”人才培养新模式，推进新文科建设，即基于现有传统文科的基础进行学科中各专业课程重组，形成文理交叉，把现代信息技术融入哲学、文学、艺术、经济与管理等诸如此类的课程中，为学生提供综合性的跨学科学习，达到知识扩展和创新思维的培养。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left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三、加强课程建设，实施研究生课程“五育并举”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 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Chars="200" w:firstLine="56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整体优化体育、美育、劳育类研究生课程设置，同时纳入各专业人才培养方案，构建德智体美劳“五育并举”研究生教育课程体系。一是在开好现有研究生体育、美育课程的基础上，进一步丰富研究生公共选修课程教学内容，扩大课程覆盖面；二是积极探索全校研究生开设美体劳类线上课程，鼓励硕博研究生（不含国际生）应至少修读1门公共选修课；三是完善劳动教育课程，在公共必修课中强化马克思主义劳动观、劳动安全和劳动法规等内容，大力弘扬劳动精神、劳模精神、工匠精神，帮助学生树立正确的劳动价值观和爱岗敬业的劳动态度。此外，各学院可根据专业学习内容、实习实训、科学实验、社会实践、毕业设计等开展实践体验性劳动教育必修或选修课程。</w:t>
      </w: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rPr>
          <w:rFonts w:ascii="仿宋" w:eastAsia="仿宋" w:hAnsi="仿宋" w:cs="仿宋"/>
        </w:rPr>
      </w:pP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请各学院按照以上要求有序开展培养方案修（制）订工作，于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5月7日前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将修（制）订的培养方案（盖章纸质版1份）交至研究生院培养办，并将培养方案等电子版材料发至培养办邮箱yjsypyb@zjgsu.edu.cn。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各学院应于</w:t>
      </w: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5月20日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将定稿的2022级研究生培养方案录入研究生综合管理系统，培养方案录入前应在系统课程库完成课程数据维护工作，补充新增课程或变更课程。</w:t>
      </w:r>
    </w:p>
    <w:p w:rsidR="0050025C" w:rsidRDefault="0050025C">
      <w:pPr>
        <w:pStyle w:val="a5"/>
        <w:widowControl/>
        <w:spacing w:beforeAutospacing="0" w:afterAutospacing="0" w:line="360" w:lineRule="auto"/>
        <w:jc w:val="both"/>
        <w:rPr>
          <w:rFonts w:ascii="仿宋" w:eastAsia="仿宋" w:hAnsi="仿宋" w:cs="仿宋"/>
        </w:rPr>
      </w:pPr>
      <w:bookmarkStart w:id="0" w:name="_GoBack"/>
      <w:bookmarkEnd w:id="0"/>
    </w:p>
    <w:p w:rsidR="0050025C" w:rsidRDefault="0050025C">
      <w:pPr>
        <w:pStyle w:val="a5"/>
        <w:widowControl/>
        <w:spacing w:beforeAutospacing="0" w:afterAutospacing="0" w:line="360" w:lineRule="auto"/>
        <w:ind w:firstLineChars="300" w:firstLine="720"/>
        <w:jc w:val="right"/>
        <w:rPr>
          <w:rFonts w:ascii="仿宋" w:eastAsia="仿宋" w:hAnsi="仿宋" w:cs="仿宋"/>
        </w:rPr>
      </w:pP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jc w:val="righ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jc w:val="righ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研究生院培养办</w:t>
      </w:r>
    </w:p>
    <w:p w:rsidR="0050025C" w:rsidRDefault="003625FF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jc w:val="righ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2022年4月</w:t>
      </w: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jc w:val="righ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50025C" w:rsidRDefault="0050025C">
      <w:pPr>
        <w:pStyle w:val="a5"/>
        <w:widowControl/>
        <w:spacing w:beforeAutospacing="0" w:afterAutospacing="0" w:line="520" w:lineRule="exact"/>
        <w:ind w:left="480"/>
        <w:rPr>
          <w:rFonts w:ascii="仿宋" w:eastAsia="仿宋" w:hAnsi="仿宋" w:cs="仿宋"/>
          <w:sz w:val="32"/>
          <w:szCs w:val="32"/>
        </w:rPr>
      </w:pPr>
    </w:p>
    <w:p w:rsidR="0050025C" w:rsidRDefault="0050025C">
      <w:pPr>
        <w:pStyle w:val="a5"/>
        <w:widowControl/>
        <w:shd w:val="clear" w:color="auto" w:fill="FFFFFF"/>
        <w:spacing w:beforeAutospacing="0" w:afterAutospacing="0" w:line="420" w:lineRule="atLeast"/>
        <w:ind w:firstLine="555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sectPr w:rsidR="0050025C" w:rsidSect="00500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FF" w:rsidRDefault="003625FF" w:rsidP="003625FF">
      <w:r>
        <w:separator/>
      </w:r>
    </w:p>
  </w:endnote>
  <w:endnote w:type="continuationSeparator" w:id="1">
    <w:p w:rsidR="003625FF" w:rsidRDefault="003625FF" w:rsidP="0036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FF" w:rsidRDefault="003625FF" w:rsidP="003625FF">
      <w:r>
        <w:separator/>
      </w:r>
    </w:p>
  </w:footnote>
  <w:footnote w:type="continuationSeparator" w:id="1">
    <w:p w:rsidR="003625FF" w:rsidRDefault="003625FF" w:rsidP="00362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4C6D4977"/>
    <w:rsid w:val="001129DE"/>
    <w:rsid w:val="001F26FA"/>
    <w:rsid w:val="002252FE"/>
    <w:rsid w:val="003625FF"/>
    <w:rsid w:val="0050025C"/>
    <w:rsid w:val="005E41FB"/>
    <w:rsid w:val="00656114"/>
    <w:rsid w:val="00687DC4"/>
    <w:rsid w:val="0070133C"/>
    <w:rsid w:val="00760F3D"/>
    <w:rsid w:val="00794F7E"/>
    <w:rsid w:val="007D232C"/>
    <w:rsid w:val="00830BB1"/>
    <w:rsid w:val="009507E3"/>
    <w:rsid w:val="00963221"/>
    <w:rsid w:val="00A87E44"/>
    <w:rsid w:val="00AA6D9F"/>
    <w:rsid w:val="00CA3674"/>
    <w:rsid w:val="00D42CCC"/>
    <w:rsid w:val="00E7151C"/>
    <w:rsid w:val="00F315E4"/>
    <w:rsid w:val="013D6437"/>
    <w:rsid w:val="016A6FD7"/>
    <w:rsid w:val="01D902A7"/>
    <w:rsid w:val="04BD38C2"/>
    <w:rsid w:val="05105CB0"/>
    <w:rsid w:val="058A40EC"/>
    <w:rsid w:val="05FD48BE"/>
    <w:rsid w:val="06E67C54"/>
    <w:rsid w:val="087E0A3D"/>
    <w:rsid w:val="08E458C1"/>
    <w:rsid w:val="09975B22"/>
    <w:rsid w:val="0A5E7386"/>
    <w:rsid w:val="0EA0672E"/>
    <w:rsid w:val="0FC376A4"/>
    <w:rsid w:val="0FD146C5"/>
    <w:rsid w:val="11CB1D14"/>
    <w:rsid w:val="1415798A"/>
    <w:rsid w:val="14292D22"/>
    <w:rsid w:val="157A5D96"/>
    <w:rsid w:val="19B60BB4"/>
    <w:rsid w:val="19F63C9E"/>
    <w:rsid w:val="1E084FF1"/>
    <w:rsid w:val="1E207A1A"/>
    <w:rsid w:val="1E2D1660"/>
    <w:rsid w:val="1FBB43A8"/>
    <w:rsid w:val="24342A61"/>
    <w:rsid w:val="246F22D4"/>
    <w:rsid w:val="24F37160"/>
    <w:rsid w:val="25DE1BBE"/>
    <w:rsid w:val="26D94133"/>
    <w:rsid w:val="294F3CB3"/>
    <w:rsid w:val="2B1B11BE"/>
    <w:rsid w:val="2B3C2EE3"/>
    <w:rsid w:val="2BDD2B40"/>
    <w:rsid w:val="2C031A9D"/>
    <w:rsid w:val="2D307E6E"/>
    <w:rsid w:val="2EB867EE"/>
    <w:rsid w:val="2EC7152F"/>
    <w:rsid w:val="2EEE0ACA"/>
    <w:rsid w:val="2F49267A"/>
    <w:rsid w:val="30442F65"/>
    <w:rsid w:val="306A22A0"/>
    <w:rsid w:val="314C1E79"/>
    <w:rsid w:val="31EA5DBB"/>
    <w:rsid w:val="321A293D"/>
    <w:rsid w:val="33154745"/>
    <w:rsid w:val="33A434EE"/>
    <w:rsid w:val="361231BE"/>
    <w:rsid w:val="36CD4D02"/>
    <w:rsid w:val="37CD7A91"/>
    <w:rsid w:val="417C1E33"/>
    <w:rsid w:val="4318243F"/>
    <w:rsid w:val="43F12637"/>
    <w:rsid w:val="43F4016E"/>
    <w:rsid w:val="44E328F5"/>
    <w:rsid w:val="45097E82"/>
    <w:rsid w:val="47C4271F"/>
    <w:rsid w:val="48111A2C"/>
    <w:rsid w:val="48D82045"/>
    <w:rsid w:val="49685368"/>
    <w:rsid w:val="49CF204C"/>
    <w:rsid w:val="4BC73FE1"/>
    <w:rsid w:val="4C6D4977"/>
    <w:rsid w:val="4C765D2C"/>
    <w:rsid w:val="4DA240F3"/>
    <w:rsid w:val="4DFF08B8"/>
    <w:rsid w:val="4F0D0077"/>
    <w:rsid w:val="4FD572DE"/>
    <w:rsid w:val="500C3C4E"/>
    <w:rsid w:val="511F6D72"/>
    <w:rsid w:val="51D11D27"/>
    <w:rsid w:val="51FA7FB7"/>
    <w:rsid w:val="53EB70D0"/>
    <w:rsid w:val="55202DAA"/>
    <w:rsid w:val="55C1650A"/>
    <w:rsid w:val="55C44468"/>
    <w:rsid w:val="565B3D37"/>
    <w:rsid w:val="56A17F1A"/>
    <w:rsid w:val="56F91B04"/>
    <w:rsid w:val="57D24FB1"/>
    <w:rsid w:val="59A33FA9"/>
    <w:rsid w:val="5A6574B1"/>
    <w:rsid w:val="5B25619A"/>
    <w:rsid w:val="5BAE2FFA"/>
    <w:rsid w:val="5C317F92"/>
    <w:rsid w:val="5C3929A3"/>
    <w:rsid w:val="5D770909"/>
    <w:rsid w:val="5DA96CA4"/>
    <w:rsid w:val="5E190CDE"/>
    <w:rsid w:val="5FB75A63"/>
    <w:rsid w:val="60261635"/>
    <w:rsid w:val="608F5DBA"/>
    <w:rsid w:val="625A7E22"/>
    <w:rsid w:val="65141294"/>
    <w:rsid w:val="658C7FE7"/>
    <w:rsid w:val="666A3C39"/>
    <w:rsid w:val="66AF2258"/>
    <w:rsid w:val="674D6F20"/>
    <w:rsid w:val="67FB305E"/>
    <w:rsid w:val="68BC0BE4"/>
    <w:rsid w:val="69E001CD"/>
    <w:rsid w:val="6AA67D9D"/>
    <w:rsid w:val="6ADE12E5"/>
    <w:rsid w:val="6B0D5727"/>
    <w:rsid w:val="6C5D623A"/>
    <w:rsid w:val="6DB84CE4"/>
    <w:rsid w:val="6DCA7C15"/>
    <w:rsid w:val="6DD3044F"/>
    <w:rsid w:val="71566079"/>
    <w:rsid w:val="73010267"/>
    <w:rsid w:val="7358775B"/>
    <w:rsid w:val="73CD1EF7"/>
    <w:rsid w:val="768014A2"/>
    <w:rsid w:val="76A56D7E"/>
    <w:rsid w:val="787473F6"/>
    <w:rsid w:val="78964B2C"/>
    <w:rsid w:val="79070062"/>
    <w:rsid w:val="7AD85026"/>
    <w:rsid w:val="7B992816"/>
    <w:rsid w:val="7BA26773"/>
    <w:rsid w:val="7BEB3862"/>
    <w:rsid w:val="7CA51C63"/>
    <w:rsid w:val="7CE92290"/>
    <w:rsid w:val="7D6C2781"/>
    <w:rsid w:val="7D893333"/>
    <w:rsid w:val="7FF9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0025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rsid w:val="0050025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00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0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002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0025C"/>
    <w:rPr>
      <w:b/>
    </w:rPr>
  </w:style>
  <w:style w:type="character" w:styleId="a7">
    <w:name w:val="Emphasis"/>
    <w:basedOn w:val="a0"/>
    <w:qFormat/>
    <w:rsid w:val="0050025C"/>
    <w:rPr>
      <w:i/>
    </w:rPr>
  </w:style>
  <w:style w:type="character" w:styleId="a8">
    <w:name w:val="Hyperlink"/>
    <w:basedOn w:val="a0"/>
    <w:qFormat/>
    <w:rsid w:val="0050025C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5002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002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002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1295</Words>
  <Characters>79</Characters>
  <Application>Microsoft Office Word</Application>
  <DocSecurity>0</DocSecurity>
  <Lines>1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云和细雨</dc:creator>
  <cp:lastModifiedBy>Admin</cp:lastModifiedBy>
  <cp:revision>16</cp:revision>
  <dcterms:created xsi:type="dcterms:W3CDTF">2020-11-16T01:44:00Z</dcterms:created>
  <dcterms:modified xsi:type="dcterms:W3CDTF">2022-04-24T00:41:00Z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C2C040F8969B4C518E89B0719723007F</vt:lpwstr>
  </property>
</Properties>
</file>