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浙江工商大学食品与生物工程学院</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研究生学业奖学金实施办法（试行）</w:t>
      </w:r>
    </w:p>
    <w:p>
      <w:pPr>
        <w:autoSpaceDE w:val="0"/>
        <w:autoSpaceDN w:val="0"/>
        <w:adjustRightInd w:val="0"/>
        <w:spacing w:line="360" w:lineRule="auto"/>
        <w:jc w:val="left"/>
        <w:rPr>
          <w:rFonts w:eastAsia="宋体"/>
          <w:b/>
        </w:rPr>
      </w:pPr>
      <w:bookmarkStart w:id="0" w:name="_GoBack"/>
      <w:bookmarkEnd w:id="0"/>
    </w:p>
    <w:p>
      <w:pPr>
        <w:numPr>
          <w:ilvl w:val="0"/>
          <w:numId w:val="1"/>
        </w:numPr>
        <w:autoSpaceDE w:val="0"/>
        <w:autoSpaceDN w:val="0"/>
        <w:adjustRightInd w:val="0"/>
        <w:spacing w:line="360" w:lineRule="auto"/>
        <w:jc w:val="center"/>
        <w:rPr>
          <w:rFonts w:ascii="黑体" w:hAnsi="黑体" w:eastAsia="黑体" w:cs="黑体"/>
          <w:bCs/>
          <w:kern w:val="0"/>
          <w:sz w:val="32"/>
          <w:szCs w:val="32"/>
        </w:rPr>
      </w:pPr>
      <w:r>
        <w:rPr>
          <w:rFonts w:hint="eastAsia" w:ascii="黑体" w:hAnsi="黑体" w:eastAsia="黑体" w:cs="黑体"/>
          <w:bCs/>
          <w:sz w:val="32"/>
          <w:szCs w:val="32"/>
        </w:rPr>
        <w:t xml:space="preserve"> 总  则</w:t>
      </w:r>
    </w:p>
    <w:p>
      <w:pPr>
        <w:autoSpaceDE w:val="0"/>
        <w:autoSpaceDN w:val="0"/>
        <w:adjustRightInd w:val="0"/>
        <w:spacing w:line="360" w:lineRule="auto"/>
        <w:ind w:firstLine="643" w:firstLineChars="200"/>
        <w:jc w:val="left"/>
        <w:rPr>
          <w:rFonts w:ascii="Times New Roman" w:hAnsi="Times New Roman" w:eastAsia="方正仿宋_GB2312" w:cs="Times New Roman"/>
          <w:kern w:val="0"/>
          <w:sz w:val="32"/>
          <w:szCs w:val="32"/>
        </w:rPr>
      </w:pPr>
      <w:r>
        <w:rPr>
          <w:rFonts w:hint="eastAsia" w:ascii="Times New Roman" w:hAnsi="Times New Roman" w:eastAsia="方正仿宋_GB2312" w:cs="Times New Roman"/>
          <w:b/>
          <w:bCs/>
          <w:kern w:val="0"/>
          <w:sz w:val="32"/>
          <w:szCs w:val="32"/>
        </w:rPr>
        <w:t>第一条</w:t>
      </w:r>
      <w:r>
        <w:rPr>
          <w:rFonts w:hint="eastAsia" w:ascii="Times New Roman" w:hAnsi="Times New Roman" w:eastAsia="方正仿宋_GB2312" w:cs="Times New Roman"/>
          <w:kern w:val="0"/>
          <w:sz w:val="32"/>
          <w:szCs w:val="32"/>
        </w:rPr>
        <w:t xml:space="preserve"> </w:t>
      </w:r>
      <w:r>
        <w:rPr>
          <w:rFonts w:ascii="Times New Roman" w:hAnsi="Times New Roman" w:eastAsia="方正仿宋_GB2312" w:cs="Times New Roman"/>
          <w:kern w:val="0"/>
          <w:sz w:val="32"/>
          <w:szCs w:val="32"/>
        </w:rPr>
        <w:t>为激励研究生勤奋学习、潜心科研、勇于创新、积极进取，在全面实行研究生收费制度的情况下支持研究生顺利完成学业，根据《浙江工商大学研究生学业奖学金管理</w:t>
      </w:r>
      <w:r>
        <w:rPr>
          <w:rFonts w:ascii="Times New Roman" w:hAnsi="Times New Roman" w:eastAsia="方正仿宋_GB2312" w:cs="Times New Roman"/>
          <w:color w:val="auto"/>
          <w:kern w:val="0"/>
          <w:sz w:val="32"/>
          <w:szCs w:val="32"/>
        </w:rPr>
        <w:t>办法》（浙商大研〔</w:t>
      </w:r>
      <w:r>
        <w:rPr>
          <w:rFonts w:hint="eastAsia" w:ascii="Times New Roman" w:hAnsi="Times New Roman" w:eastAsia="方正仿宋_GB2312" w:cs="Times New Roman"/>
          <w:color w:val="auto"/>
          <w:kern w:val="0"/>
          <w:sz w:val="32"/>
          <w:szCs w:val="32"/>
          <w:lang w:val="en-US" w:eastAsia="zh-CN"/>
        </w:rPr>
        <w:t>2021</w:t>
      </w:r>
      <w:r>
        <w:rPr>
          <w:rFonts w:ascii="Times New Roman" w:hAnsi="Times New Roman" w:eastAsia="方正仿宋_GB2312" w:cs="Times New Roman"/>
          <w:color w:val="auto"/>
          <w:kern w:val="0"/>
          <w:sz w:val="32"/>
          <w:szCs w:val="32"/>
        </w:rPr>
        <w:t>〕</w:t>
      </w:r>
      <w:r>
        <w:rPr>
          <w:rFonts w:hint="eastAsia" w:ascii="Times New Roman" w:hAnsi="Times New Roman" w:eastAsia="方正仿宋_GB2312" w:cs="Times New Roman"/>
          <w:color w:val="auto"/>
          <w:kern w:val="0"/>
          <w:sz w:val="32"/>
          <w:szCs w:val="32"/>
          <w:lang w:val="en-US" w:eastAsia="zh-CN"/>
        </w:rPr>
        <w:t>147</w:t>
      </w:r>
      <w:r>
        <w:rPr>
          <w:rFonts w:ascii="Times New Roman" w:hAnsi="Times New Roman" w:eastAsia="方正仿宋_GB2312" w:cs="Times New Roman"/>
          <w:color w:val="auto"/>
          <w:kern w:val="0"/>
          <w:sz w:val="32"/>
          <w:szCs w:val="32"/>
        </w:rPr>
        <w:t>号）的精神，结合我院实际</w:t>
      </w:r>
      <w:r>
        <w:rPr>
          <w:rFonts w:ascii="Times New Roman" w:hAnsi="Times New Roman" w:eastAsia="方正仿宋_GB2312" w:cs="Times New Roman"/>
          <w:kern w:val="0"/>
          <w:sz w:val="32"/>
          <w:szCs w:val="32"/>
        </w:rPr>
        <w:t>情况，制定本办法。</w:t>
      </w:r>
    </w:p>
    <w:p>
      <w:pPr>
        <w:autoSpaceDE w:val="0"/>
        <w:autoSpaceDN w:val="0"/>
        <w:adjustRightInd w:val="0"/>
        <w:spacing w:line="360" w:lineRule="auto"/>
        <w:ind w:firstLine="643" w:firstLineChars="200"/>
        <w:jc w:val="left"/>
        <w:rPr>
          <w:rFonts w:ascii="Times New Roman" w:hAnsi="Times New Roman" w:eastAsia="方正仿宋_GB2312" w:cs="Times New Roman"/>
          <w:kern w:val="0"/>
          <w:sz w:val="32"/>
          <w:szCs w:val="32"/>
        </w:rPr>
      </w:pPr>
      <w:r>
        <w:rPr>
          <w:rFonts w:hint="eastAsia" w:ascii="Times New Roman" w:hAnsi="Times New Roman" w:eastAsia="方正仿宋_GB2312" w:cs="Times New Roman"/>
          <w:b/>
          <w:bCs/>
          <w:kern w:val="0"/>
          <w:sz w:val="32"/>
          <w:szCs w:val="32"/>
        </w:rPr>
        <w:t>第二条</w:t>
      </w:r>
      <w:r>
        <w:rPr>
          <w:rFonts w:hint="eastAsia" w:ascii="Times New Roman" w:hAnsi="Times New Roman" w:eastAsia="方正仿宋_GB2312" w:cs="Times New Roman"/>
          <w:kern w:val="0"/>
          <w:sz w:val="32"/>
          <w:szCs w:val="32"/>
        </w:rPr>
        <w:t xml:space="preserve"> </w:t>
      </w:r>
      <w:r>
        <w:rPr>
          <w:rFonts w:ascii="Times New Roman" w:hAnsi="Times New Roman" w:eastAsia="方正仿宋_GB2312" w:cs="Times New Roman"/>
          <w:kern w:val="0"/>
          <w:sz w:val="32"/>
          <w:szCs w:val="32"/>
        </w:rPr>
        <w:t>本办法所称研究生是指我院具有中华人民共和国国籍、纳入全国研究生招生计划、全日制（全脱产培养）、非定向就业的普通在校博士和硕士研究生。</w:t>
      </w:r>
    </w:p>
    <w:p>
      <w:pPr>
        <w:autoSpaceDE w:val="0"/>
        <w:autoSpaceDN w:val="0"/>
        <w:adjustRightInd w:val="0"/>
        <w:spacing w:line="360" w:lineRule="auto"/>
        <w:ind w:firstLine="643" w:firstLineChars="200"/>
        <w:jc w:val="left"/>
        <w:rPr>
          <w:rFonts w:ascii="Times New Roman" w:hAnsi="Times New Roman" w:eastAsia="方正仿宋_GB2312" w:cs="Times New Roman"/>
          <w:color w:val="auto"/>
          <w:kern w:val="0"/>
          <w:sz w:val="32"/>
          <w:szCs w:val="32"/>
        </w:rPr>
      </w:pPr>
      <w:r>
        <w:rPr>
          <w:rFonts w:hint="eastAsia" w:ascii="Times New Roman" w:hAnsi="Times New Roman" w:eastAsia="方正仿宋_GB2312" w:cs="Times New Roman"/>
          <w:b/>
          <w:bCs/>
          <w:color w:val="auto"/>
          <w:kern w:val="0"/>
          <w:sz w:val="32"/>
          <w:szCs w:val="32"/>
        </w:rPr>
        <w:t>第三条</w:t>
      </w:r>
      <w:r>
        <w:rPr>
          <w:rFonts w:hint="eastAsia" w:ascii="Times New Roman" w:hAnsi="Times New Roman" w:eastAsia="方正仿宋_GB2312" w:cs="Times New Roman"/>
          <w:color w:val="auto"/>
          <w:kern w:val="0"/>
          <w:sz w:val="32"/>
          <w:szCs w:val="32"/>
        </w:rPr>
        <w:t xml:space="preserve"> </w:t>
      </w:r>
      <w:r>
        <w:rPr>
          <w:rFonts w:ascii="Times New Roman" w:hAnsi="Times New Roman" w:eastAsia="方正仿宋_GB2312" w:cs="Times New Roman"/>
          <w:color w:val="auto"/>
          <w:kern w:val="0"/>
          <w:sz w:val="32"/>
          <w:szCs w:val="32"/>
        </w:rPr>
        <w:t>研究生获得学业奖学金的总年限，不超过基本学制规定的学习年限。博士生基本学制年限为3年，硕士生基本学制年限为</w:t>
      </w:r>
      <w:r>
        <w:rPr>
          <w:rFonts w:hint="eastAsia" w:ascii="Times New Roman" w:hAnsi="Times New Roman" w:eastAsia="方正仿宋_GB2312" w:cs="Times New Roman"/>
          <w:color w:val="auto"/>
          <w:kern w:val="0"/>
          <w:sz w:val="32"/>
          <w:szCs w:val="32"/>
        </w:rPr>
        <w:t>3</w:t>
      </w:r>
      <w:r>
        <w:rPr>
          <w:rFonts w:ascii="Times New Roman" w:hAnsi="Times New Roman" w:eastAsia="方正仿宋_GB2312" w:cs="Times New Roman"/>
          <w:color w:val="auto"/>
          <w:kern w:val="0"/>
          <w:sz w:val="32"/>
          <w:szCs w:val="32"/>
        </w:rPr>
        <w:t>年。</w:t>
      </w:r>
    </w:p>
    <w:p>
      <w:pPr>
        <w:autoSpaceDE w:val="0"/>
        <w:autoSpaceDN w:val="0"/>
        <w:adjustRightInd w:val="0"/>
        <w:spacing w:line="360" w:lineRule="auto"/>
        <w:ind w:firstLine="643" w:firstLineChars="200"/>
        <w:jc w:val="left"/>
        <w:rPr>
          <w:rFonts w:ascii="Times New Roman" w:hAnsi="Times New Roman" w:eastAsia="方正仿宋_GB2312" w:cs="Times New Roman"/>
          <w:kern w:val="0"/>
          <w:sz w:val="32"/>
          <w:szCs w:val="32"/>
        </w:rPr>
      </w:pPr>
      <w:r>
        <w:rPr>
          <w:rFonts w:hint="eastAsia" w:ascii="Times New Roman" w:hAnsi="Times New Roman" w:eastAsia="方正仿宋_GB2312" w:cs="Times New Roman"/>
          <w:b/>
          <w:bCs/>
          <w:kern w:val="0"/>
          <w:sz w:val="32"/>
          <w:szCs w:val="32"/>
        </w:rPr>
        <w:t>第四条</w:t>
      </w:r>
      <w:r>
        <w:rPr>
          <w:rFonts w:hint="eastAsia" w:ascii="Times New Roman" w:hAnsi="Times New Roman" w:eastAsia="方正仿宋_GB2312" w:cs="Times New Roman"/>
          <w:kern w:val="0"/>
          <w:sz w:val="32"/>
          <w:szCs w:val="32"/>
        </w:rPr>
        <w:t xml:space="preserve"> </w:t>
      </w:r>
      <w:r>
        <w:rPr>
          <w:rFonts w:ascii="Times New Roman" w:hAnsi="Times New Roman" w:eastAsia="方正仿宋_GB2312" w:cs="Times New Roman"/>
          <w:kern w:val="0"/>
          <w:sz w:val="32"/>
          <w:szCs w:val="32"/>
        </w:rPr>
        <w:t>获得学业奖学金的研究生可同时申请研究生国家奖学金等其他校内外奖助项目。</w:t>
      </w:r>
    </w:p>
    <w:p>
      <w:pPr>
        <w:autoSpaceDE w:val="0"/>
        <w:autoSpaceDN w:val="0"/>
        <w:adjustRightInd w:val="0"/>
        <w:spacing w:line="360" w:lineRule="auto"/>
        <w:jc w:val="left"/>
        <w:rPr>
          <w:rFonts w:ascii="Times New Roman" w:hAnsi="Times New Roman" w:eastAsia="方正仿宋_GB2312" w:cs="Times New Roman"/>
          <w:kern w:val="0"/>
          <w:sz w:val="32"/>
          <w:szCs w:val="32"/>
        </w:rPr>
      </w:pPr>
    </w:p>
    <w:p>
      <w:pPr>
        <w:pStyle w:val="6"/>
        <w:spacing w:before="0" w:beforeAutospacing="0" w:after="0" w:afterAutospacing="0" w:line="360" w:lineRule="auto"/>
        <w:jc w:val="center"/>
        <w:rPr>
          <w:rFonts w:ascii="黑体" w:hAnsi="黑体" w:eastAsia="黑体" w:cs="黑体"/>
          <w:sz w:val="32"/>
          <w:szCs w:val="32"/>
        </w:rPr>
      </w:pPr>
      <w:r>
        <w:rPr>
          <w:rFonts w:hint="eastAsia" w:ascii="黑体" w:hAnsi="黑体" w:eastAsia="黑体" w:cs="黑体"/>
          <w:sz w:val="32"/>
          <w:szCs w:val="32"/>
        </w:rPr>
        <w:t>第二章  奖励类型、等级、标准、比例</w:t>
      </w:r>
    </w:p>
    <w:p>
      <w:pPr>
        <w:autoSpaceDE w:val="0"/>
        <w:autoSpaceDN w:val="0"/>
        <w:adjustRightInd w:val="0"/>
        <w:spacing w:line="360" w:lineRule="auto"/>
        <w:ind w:firstLine="643" w:firstLineChars="200"/>
        <w:jc w:val="left"/>
        <w:rPr>
          <w:rFonts w:ascii="Times New Roman" w:hAnsi="Times New Roman" w:eastAsia="方正仿宋_GB2312" w:cs="Times New Roman"/>
          <w:kern w:val="0"/>
          <w:sz w:val="32"/>
          <w:szCs w:val="32"/>
        </w:rPr>
      </w:pPr>
      <w:r>
        <w:rPr>
          <w:rFonts w:hint="eastAsia" w:ascii="Times New Roman" w:hAnsi="Times New Roman" w:eastAsia="方正仿宋_GB2312" w:cs="Times New Roman"/>
          <w:b/>
          <w:bCs/>
          <w:kern w:val="0"/>
          <w:sz w:val="32"/>
          <w:szCs w:val="32"/>
        </w:rPr>
        <w:t>第五条</w:t>
      </w:r>
      <w:r>
        <w:rPr>
          <w:rFonts w:hint="eastAsia" w:ascii="Times New Roman" w:hAnsi="Times New Roman" w:eastAsia="方正仿宋_GB2312" w:cs="Times New Roman"/>
          <w:kern w:val="0"/>
          <w:sz w:val="32"/>
          <w:szCs w:val="32"/>
        </w:rPr>
        <w:t xml:space="preserve"> </w:t>
      </w:r>
      <w:r>
        <w:rPr>
          <w:rFonts w:ascii="Times New Roman" w:hAnsi="Times New Roman" w:eastAsia="方正仿宋_GB2312" w:cs="Times New Roman"/>
          <w:kern w:val="0"/>
          <w:sz w:val="32"/>
          <w:szCs w:val="32"/>
        </w:rPr>
        <w:t xml:space="preserve">奖励等级、标准和比例 </w:t>
      </w:r>
    </w:p>
    <w:p>
      <w:pPr>
        <w:autoSpaceDE w:val="0"/>
        <w:autoSpaceDN w:val="0"/>
        <w:adjustRightInd w:val="0"/>
        <w:spacing w:line="360" w:lineRule="auto"/>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研究生学业奖学金设研究生新生学业奖学金和研究生学年学业奖学金两种类型。</w:t>
      </w:r>
    </w:p>
    <w:p>
      <w:pPr>
        <w:autoSpaceDE w:val="0"/>
        <w:autoSpaceDN w:val="0"/>
        <w:adjustRightInd w:val="0"/>
        <w:spacing w:line="360" w:lineRule="auto"/>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（一）研究生新生学业奖学金</w:t>
      </w:r>
    </w:p>
    <w:p>
      <w:pPr>
        <w:autoSpaceDE w:val="0"/>
        <w:autoSpaceDN w:val="0"/>
        <w:adjustRightInd w:val="0"/>
        <w:spacing w:line="360" w:lineRule="auto"/>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博士生新生学业奖学金发放对象为一年级博士研究生，不分等级，奖励标准为每生10000元/年，奖励比例为一年级博士研究生的100%。</w:t>
      </w:r>
    </w:p>
    <w:p>
      <w:pPr>
        <w:autoSpaceDE w:val="0"/>
        <w:autoSpaceDN w:val="0"/>
        <w:adjustRightInd w:val="0"/>
        <w:spacing w:line="360" w:lineRule="auto"/>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硕士生新生学业奖学金发放对象为一年级硕士研究生，分一志愿考生（含推免生）和调剂志愿考生两档实施。</w:t>
      </w:r>
    </w:p>
    <w:tbl>
      <w:tblPr>
        <w:tblStyle w:val="7"/>
        <w:tblW w:w="8031" w:type="dxa"/>
        <w:jc w:val="center"/>
        <w:tblLayout w:type="fixed"/>
        <w:tblCellMar>
          <w:top w:w="0" w:type="dxa"/>
          <w:left w:w="0" w:type="dxa"/>
          <w:bottom w:w="0" w:type="dxa"/>
          <w:right w:w="0" w:type="dxa"/>
        </w:tblCellMar>
      </w:tblPr>
      <w:tblGrid>
        <w:gridCol w:w="3167"/>
        <w:gridCol w:w="2105"/>
        <w:gridCol w:w="2759"/>
      </w:tblGrid>
      <w:tr>
        <w:tblPrEx>
          <w:tblCellMar>
            <w:top w:w="0" w:type="dxa"/>
            <w:left w:w="0" w:type="dxa"/>
            <w:bottom w:w="0" w:type="dxa"/>
            <w:right w:w="0" w:type="dxa"/>
          </w:tblCellMar>
        </w:tblPrEx>
        <w:trPr>
          <w:trHeight w:val="653" w:hRule="atLeast"/>
          <w:jc w:val="center"/>
        </w:trPr>
        <w:tc>
          <w:tcPr>
            <w:tcW w:w="3167"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方正仿宋_GB2312" w:cs="Times New Roman"/>
                <w:b/>
                <w:bCs/>
                <w:kern w:val="0"/>
                <w:sz w:val="24"/>
              </w:rPr>
            </w:pPr>
            <w:r>
              <w:rPr>
                <w:rFonts w:ascii="Times New Roman" w:hAnsi="Times New Roman" w:eastAsia="方正仿宋_GB2312" w:cs="Times New Roman"/>
                <w:b/>
                <w:bCs/>
                <w:kern w:val="0"/>
                <w:sz w:val="24"/>
              </w:rPr>
              <w:t>报考学校志愿</w:t>
            </w:r>
          </w:p>
        </w:tc>
        <w:tc>
          <w:tcPr>
            <w:tcW w:w="2105"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方正仿宋_GB2312" w:cs="Times New Roman"/>
                <w:b/>
                <w:bCs/>
                <w:kern w:val="0"/>
                <w:sz w:val="24"/>
              </w:rPr>
            </w:pPr>
            <w:r>
              <w:rPr>
                <w:rFonts w:ascii="Times New Roman" w:hAnsi="Times New Roman" w:eastAsia="方正仿宋_GB2312" w:cs="Times New Roman"/>
                <w:b/>
                <w:bCs/>
                <w:kern w:val="0"/>
                <w:sz w:val="24"/>
              </w:rPr>
              <w:t>奖励标准</w:t>
            </w:r>
          </w:p>
        </w:tc>
        <w:tc>
          <w:tcPr>
            <w:tcW w:w="2759"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方正仿宋_GB2312" w:cs="Times New Roman"/>
                <w:b/>
                <w:bCs/>
                <w:kern w:val="0"/>
                <w:sz w:val="24"/>
              </w:rPr>
            </w:pPr>
            <w:r>
              <w:rPr>
                <w:rFonts w:ascii="Times New Roman" w:hAnsi="Times New Roman" w:eastAsia="方正仿宋_GB2312" w:cs="Times New Roman"/>
                <w:b/>
                <w:bCs/>
                <w:kern w:val="0"/>
                <w:sz w:val="24"/>
              </w:rPr>
              <w:t>奖励比例</w:t>
            </w:r>
          </w:p>
        </w:tc>
      </w:tr>
      <w:tr>
        <w:tblPrEx>
          <w:tblCellMar>
            <w:top w:w="0" w:type="dxa"/>
            <w:left w:w="0" w:type="dxa"/>
            <w:bottom w:w="0" w:type="dxa"/>
            <w:right w:w="0" w:type="dxa"/>
          </w:tblCellMar>
        </w:tblPrEx>
        <w:trPr>
          <w:trHeight w:val="280" w:hRule="atLeast"/>
          <w:jc w:val="center"/>
        </w:trPr>
        <w:tc>
          <w:tcPr>
            <w:tcW w:w="3167"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一志愿（含推免生）</w:t>
            </w:r>
          </w:p>
        </w:tc>
        <w:tc>
          <w:tcPr>
            <w:tcW w:w="2105"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学费的100%</w:t>
            </w:r>
          </w:p>
        </w:tc>
        <w:tc>
          <w:tcPr>
            <w:tcW w:w="2759"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100%</w:t>
            </w:r>
          </w:p>
        </w:tc>
      </w:tr>
      <w:tr>
        <w:tblPrEx>
          <w:tblCellMar>
            <w:top w:w="0" w:type="dxa"/>
            <w:left w:w="0" w:type="dxa"/>
            <w:bottom w:w="0" w:type="dxa"/>
            <w:right w:w="0" w:type="dxa"/>
          </w:tblCellMar>
        </w:tblPrEx>
        <w:trPr>
          <w:trHeight w:val="90" w:hRule="atLeast"/>
          <w:jc w:val="center"/>
        </w:trPr>
        <w:tc>
          <w:tcPr>
            <w:tcW w:w="3167"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调剂志愿</w:t>
            </w:r>
          </w:p>
        </w:tc>
        <w:tc>
          <w:tcPr>
            <w:tcW w:w="2105"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学费的80%</w:t>
            </w:r>
          </w:p>
        </w:tc>
        <w:tc>
          <w:tcPr>
            <w:tcW w:w="2759" w:type="dxa"/>
            <w:vMerge w:val="continue"/>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60" w:lineRule="auto"/>
              <w:jc w:val="left"/>
              <w:rPr>
                <w:rFonts w:ascii="Times New Roman" w:hAnsi="Times New Roman" w:eastAsia="方正仿宋_GB2312" w:cs="Times New Roman"/>
                <w:kern w:val="0"/>
                <w:sz w:val="24"/>
              </w:rPr>
            </w:pPr>
          </w:p>
        </w:tc>
      </w:tr>
    </w:tbl>
    <w:p>
      <w:pPr>
        <w:numPr>
          <w:ilvl w:val="0"/>
          <w:numId w:val="2"/>
        </w:numPr>
        <w:autoSpaceDE w:val="0"/>
        <w:autoSpaceDN w:val="0"/>
        <w:adjustRightInd w:val="0"/>
        <w:spacing w:line="360" w:lineRule="auto"/>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研究生学年学业奖学金</w:t>
      </w:r>
    </w:p>
    <w:tbl>
      <w:tblPr>
        <w:tblStyle w:val="7"/>
        <w:tblW w:w="7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687"/>
        <w:gridCol w:w="1993"/>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875" w:type="dxa"/>
            <w:tcBorders>
              <w:top w:val="single" w:color="auto" w:sz="4" w:space="0"/>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b/>
                <w:bCs/>
                <w:kern w:val="0"/>
                <w:sz w:val="24"/>
              </w:rPr>
            </w:pPr>
            <w:r>
              <w:rPr>
                <w:rFonts w:ascii="Times New Roman" w:hAnsi="Times New Roman" w:eastAsia="方正仿宋_GB2312" w:cs="Times New Roman"/>
                <w:b/>
                <w:bCs/>
                <w:kern w:val="0"/>
                <w:sz w:val="24"/>
              </w:rPr>
              <w:t>类 别</w:t>
            </w:r>
          </w:p>
        </w:tc>
        <w:tc>
          <w:tcPr>
            <w:tcW w:w="1687" w:type="dxa"/>
            <w:tcBorders>
              <w:top w:val="single" w:color="auto" w:sz="4" w:space="0"/>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b/>
                <w:bCs/>
                <w:kern w:val="0"/>
                <w:sz w:val="24"/>
              </w:rPr>
            </w:pPr>
            <w:r>
              <w:rPr>
                <w:rFonts w:ascii="Times New Roman" w:hAnsi="Times New Roman" w:eastAsia="方正仿宋_GB2312" w:cs="Times New Roman"/>
                <w:b/>
                <w:bCs/>
                <w:kern w:val="0"/>
                <w:sz w:val="24"/>
              </w:rPr>
              <w:t>等 级</w:t>
            </w:r>
          </w:p>
        </w:tc>
        <w:tc>
          <w:tcPr>
            <w:tcW w:w="1993" w:type="dxa"/>
            <w:tcBorders>
              <w:top w:val="single" w:color="auto" w:sz="4" w:space="0"/>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b/>
                <w:bCs/>
                <w:kern w:val="0"/>
                <w:sz w:val="24"/>
              </w:rPr>
            </w:pPr>
            <w:r>
              <w:rPr>
                <w:rFonts w:ascii="Times New Roman" w:hAnsi="Times New Roman" w:eastAsia="方正仿宋_GB2312" w:cs="Times New Roman"/>
                <w:b/>
                <w:bCs/>
                <w:kern w:val="0"/>
                <w:sz w:val="24"/>
              </w:rPr>
              <w:t>奖励标准</w:t>
            </w:r>
          </w:p>
        </w:tc>
        <w:tc>
          <w:tcPr>
            <w:tcW w:w="2261" w:type="dxa"/>
            <w:tcBorders>
              <w:top w:val="single" w:color="auto" w:sz="4" w:space="0"/>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b/>
                <w:bCs/>
                <w:kern w:val="0"/>
                <w:sz w:val="24"/>
              </w:rPr>
            </w:pPr>
            <w:r>
              <w:rPr>
                <w:rFonts w:ascii="Times New Roman" w:hAnsi="Times New Roman" w:eastAsia="方正仿宋_GB2312" w:cs="Times New Roman"/>
                <w:b/>
                <w:bCs/>
                <w:kern w:val="0"/>
                <w:sz w:val="24"/>
              </w:rPr>
              <w:t>奖励比例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restart"/>
            <w:tcBorders>
              <w:top w:val="single" w:color="auto" w:sz="4" w:space="0"/>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博士生</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一等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18000元/年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二等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14000元/年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三等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10000元/年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restart"/>
            <w:tcBorders>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硕士生</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一等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12000元/年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二等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10000元/年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三等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8000元/年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方正仿宋_GB2312" w:cs="Times New Roman"/>
                <w:kern w:val="0"/>
                <w:sz w:val="24"/>
              </w:rPr>
            </w:pPr>
            <w:r>
              <w:rPr>
                <w:rFonts w:ascii="Times New Roman" w:hAnsi="Times New Roman" w:eastAsia="方正仿宋_GB2312" w:cs="Times New Roman"/>
                <w:kern w:val="0"/>
                <w:sz w:val="24"/>
              </w:rPr>
              <w:t>50%</w:t>
            </w:r>
          </w:p>
        </w:tc>
      </w:tr>
    </w:tbl>
    <w:p>
      <w:pPr>
        <w:autoSpaceDE w:val="0"/>
        <w:autoSpaceDN w:val="0"/>
        <w:adjustRightInd w:val="0"/>
        <w:spacing w:line="360" w:lineRule="auto"/>
        <w:ind w:firstLine="640" w:firstLineChars="200"/>
        <w:jc w:val="left"/>
        <w:rPr>
          <w:rFonts w:ascii="Times New Roman" w:hAnsi="Times New Roman" w:eastAsia="方正仿宋_GB2312" w:cs="Times New Roman"/>
          <w:kern w:val="0"/>
          <w:sz w:val="32"/>
          <w:szCs w:val="32"/>
        </w:rPr>
      </w:pPr>
    </w:p>
    <w:p>
      <w:pPr>
        <w:autoSpaceDE w:val="0"/>
        <w:autoSpaceDN w:val="0"/>
        <w:adjustRightInd w:val="0"/>
        <w:spacing w:line="360" w:lineRule="auto"/>
        <w:ind w:firstLine="643" w:firstLineChars="200"/>
        <w:jc w:val="left"/>
        <w:rPr>
          <w:rFonts w:ascii="Times New Roman" w:hAnsi="Times New Roman" w:eastAsia="方正仿宋_GB2312" w:cs="Times New Roman"/>
          <w:kern w:val="0"/>
          <w:sz w:val="32"/>
          <w:szCs w:val="32"/>
        </w:rPr>
      </w:pPr>
      <w:r>
        <w:rPr>
          <w:rFonts w:hint="eastAsia" w:ascii="Times New Roman" w:hAnsi="Times New Roman" w:eastAsia="方正仿宋_GB2312" w:cs="Times New Roman"/>
          <w:b/>
          <w:bCs/>
          <w:kern w:val="0"/>
          <w:sz w:val="32"/>
          <w:szCs w:val="32"/>
        </w:rPr>
        <w:t>第六条</w:t>
      </w:r>
      <w:r>
        <w:rPr>
          <w:rFonts w:hint="eastAsia" w:ascii="Times New Roman" w:hAnsi="Times New Roman" w:eastAsia="方正仿宋_GB2312" w:cs="Times New Roman"/>
          <w:kern w:val="0"/>
          <w:sz w:val="32"/>
          <w:szCs w:val="32"/>
        </w:rPr>
        <w:t xml:space="preserve"> </w:t>
      </w:r>
      <w:r>
        <w:rPr>
          <w:rFonts w:ascii="Times New Roman" w:hAnsi="Times New Roman" w:eastAsia="方正仿宋_GB2312" w:cs="Times New Roman"/>
          <w:kern w:val="0"/>
          <w:sz w:val="32"/>
          <w:szCs w:val="32"/>
        </w:rPr>
        <w:t>除新生学业奖学金外，在校研究生学年学业奖学金的评奖学年为上年9月1日至当年8月31日</w:t>
      </w:r>
      <w:r>
        <w:rPr>
          <w:rFonts w:hint="eastAsia" w:ascii="Times New Roman" w:hAnsi="Times New Roman" w:eastAsia="方正仿宋_GB2312" w:cs="Times New Roman"/>
          <w:kern w:val="0"/>
          <w:sz w:val="32"/>
          <w:szCs w:val="32"/>
        </w:rPr>
        <w:t>。</w:t>
      </w:r>
    </w:p>
    <w:p>
      <w:pPr>
        <w:autoSpaceDE w:val="0"/>
        <w:autoSpaceDN w:val="0"/>
        <w:adjustRightInd w:val="0"/>
        <w:spacing w:line="360" w:lineRule="auto"/>
        <w:ind w:firstLine="643" w:firstLineChars="200"/>
        <w:jc w:val="left"/>
        <w:rPr>
          <w:rFonts w:ascii="Times New Roman" w:hAnsi="Times New Roman" w:eastAsia="方正仿宋_GB2312" w:cs="Times New Roman"/>
          <w:kern w:val="0"/>
          <w:sz w:val="32"/>
          <w:szCs w:val="32"/>
        </w:rPr>
      </w:pPr>
      <w:r>
        <w:rPr>
          <w:rFonts w:hint="eastAsia" w:ascii="Times New Roman" w:hAnsi="Times New Roman" w:eastAsia="方正仿宋_GB2312" w:cs="Times New Roman"/>
          <w:b/>
          <w:bCs/>
          <w:kern w:val="0"/>
          <w:sz w:val="32"/>
          <w:szCs w:val="32"/>
        </w:rPr>
        <w:t>第七条</w:t>
      </w:r>
      <w:r>
        <w:rPr>
          <w:rFonts w:hint="eastAsia" w:ascii="Times New Roman" w:hAnsi="Times New Roman" w:eastAsia="方正仿宋_GB2312" w:cs="Times New Roman"/>
          <w:kern w:val="0"/>
          <w:sz w:val="32"/>
          <w:szCs w:val="32"/>
        </w:rPr>
        <w:t xml:space="preserve"> 学年学业奖学金的等级主要根据研究生综合测评结果确定。</w:t>
      </w:r>
    </w:p>
    <w:p>
      <w:pPr>
        <w:autoSpaceDE w:val="0"/>
        <w:autoSpaceDN w:val="0"/>
        <w:adjustRightInd w:val="0"/>
        <w:spacing w:line="360" w:lineRule="auto"/>
        <w:ind w:firstLine="643"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b/>
          <w:bCs/>
          <w:kern w:val="0"/>
          <w:sz w:val="32"/>
          <w:szCs w:val="32"/>
        </w:rPr>
        <w:t>第</w:t>
      </w:r>
      <w:r>
        <w:rPr>
          <w:rFonts w:hint="eastAsia" w:ascii="Times New Roman" w:hAnsi="Times New Roman" w:eastAsia="方正仿宋_GB2312" w:cs="Times New Roman"/>
          <w:b/>
          <w:bCs/>
          <w:kern w:val="0"/>
          <w:sz w:val="32"/>
          <w:szCs w:val="32"/>
        </w:rPr>
        <w:t>八</w:t>
      </w:r>
      <w:r>
        <w:rPr>
          <w:rFonts w:ascii="Times New Roman" w:hAnsi="Times New Roman" w:eastAsia="方正仿宋_GB2312" w:cs="Times New Roman"/>
          <w:b/>
          <w:bCs/>
          <w:kern w:val="0"/>
          <w:sz w:val="32"/>
          <w:szCs w:val="32"/>
        </w:rPr>
        <w:t>条</w:t>
      </w:r>
      <w:r>
        <w:rPr>
          <w:rFonts w:hint="eastAsia" w:ascii="Times New Roman" w:hAnsi="Times New Roman" w:eastAsia="方正仿宋_GB2312" w:cs="Times New Roman"/>
          <w:kern w:val="0"/>
          <w:sz w:val="32"/>
          <w:szCs w:val="32"/>
        </w:rPr>
        <w:t xml:space="preserve"> </w:t>
      </w:r>
      <w:r>
        <w:rPr>
          <w:rFonts w:ascii="Times New Roman" w:hAnsi="Times New Roman" w:eastAsia="方正仿宋_GB2312" w:cs="Times New Roman"/>
          <w:kern w:val="0"/>
          <w:sz w:val="32"/>
          <w:szCs w:val="32"/>
        </w:rPr>
        <w:t>硕博连读研究生，根据当年所修课程的层次阶段确定身份参与学业奖学金的评定。在选修硕士课程阶段按照硕士研究生身份参与评定，进入选修博士研究生课程阶段按照博士研究生身份参与评定。</w:t>
      </w:r>
    </w:p>
    <w:p>
      <w:pPr>
        <w:autoSpaceDE w:val="0"/>
        <w:autoSpaceDN w:val="0"/>
        <w:adjustRightInd w:val="0"/>
        <w:spacing w:line="360" w:lineRule="auto"/>
        <w:jc w:val="left"/>
        <w:rPr>
          <w:rFonts w:ascii="Times New Roman" w:hAnsi="Times New Roman" w:eastAsia="方正仿宋_GB2312" w:cs="Times New Roman"/>
          <w:kern w:val="0"/>
          <w:sz w:val="32"/>
          <w:szCs w:val="32"/>
          <w:highlight w:val="yellow"/>
        </w:rPr>
      </w:pPr>
    </w:p>
    <w:p>
      <w:pPr>
        <w:pStyle w:val="6"/>
        <w:numPr>
          <w:ilvl w:val="0"/>
          <w:numId w:val="3"/>
        </w:numPr>
        <w:spacing w:before="0" w:beforeAutospacing="0" w:after="0" w:afterAutospacing="0" w:line="360" w:lineRule="auto"/>
        <w:jc w:val="center"/>
        <w:rPr>
          <w:rFonts w:ascii="黑体" w:hAnsi="黑体" w:eastAsia="黑体" w:cs="黑体"/>
          <w:sz w:val="32"/>
          <w:szCs w:val="32"/>
        </w:rPr>
      </w:pPr>
      <w:r>
        <w:rPr>
          <w:rFonts w:hint="eastAsia" w:ascii="黑体" w:hAnsi="黑体" w:eastAsia="黑体" w:cs="黑体"/>
          <w:sz w:val="32"/>
          <w:szCs w:val="32"/>
        </w:rPr>
        <w:t xml:space="preserve"> 申请条件、评奖学年、评奖规则</w:t>
      </w:r>
    </w:p>
    <w:p>
      <w:pPr>
        <w:pStyle w:val="6"/>
        <w:spacing w:before="0" w:beforeAutospacing="0" w:after="0" w:afterAutospacing="0" w:line="360" w:lineRule="auto"/>
        <w:ind w:firstLine="643" w:firstLineChars="200"/>
        <w:jc w:val="both"/>
        <w:rPr>
          <w:rFonts w:ascii="Times New Roman" w:hAnsi="Times New Roman" w:eastAsia="方正仿宋_GB2312" w:cs="Times New Roman"/>
          <w:color w:val="auto"/>
          <w:sz w:val="32"/>
          <w:szCs w:val="32"/>
        </w:rPr>
      </w:pPr>
      <w:r>
        <w:rPr>
          <w:rFonts w:ascii="Times New Roman" w:hAnsi="Times New Roman" w:eastAsia="方正仿宋_GB2312" w:cs="Times New Roman"/>
          <w:b/>
          <w:bCs/>
          <w:sz w:val="32"/>
          <w:szCs w:val="32"/>
        </w:rPr>
        <w:t>第</w:t>
      </w:r>
      <w:r>
        <w:rPr>
          <w:rFonts w:hint="eastAsia" w:ascii="Times New Roman" w:hAnsi="Times New Roman" w:eastAsia="方正仿宋_GB2312" w:cs="Times New Roman"/>
          <w:b/>
          <w:bCs/>
          <w:sz w:val="32"/>
          <w:szCs w:val="32"/>
        </w:rPr>
        <w:t>九</w:t>
      </w:r>
      <w:r>
        <w:rPr>
          <w:rFonts w:ascii="Times New Roman" w:hAnsi="Times New Roman" w:eastAsia="方正仿宋_GB2312" w:cs="Times New Roman"/>
          <w:b/>
          <w:bCs/>
          <w:sz w:val="32"/>
          <w:szCs w:val="32"/>
        </w:rPr>
        <w:t>条</w:t>
      </w:r>
      <w:r>
        <w:rPr>
          <w:rFonts w:ascii="Times New Roman" w:hAnsi="Times New Roman" w:eastAsia="方正仿宋_GB2312" w:cs="Times New Roman"/>
          <w:sz w:val="32"/>
          <w:szCs w:val="32"/>
        </w:rPr>
        <w:t xml:space="preserve"> 有以下情形者，均无资格参加当年度研究生学</w:t>
      </w:r>
      <w:r>
        <w:rPr>
          <w:rFonts w:ascii="Times New Roman" w:hAnsi="Times New Roman" w:eastAsia="方正仿宋_GB2312" w:cs="Times New Roman"/>
          <w:color w:val="auto"/>
          <w:sz w:val="32"/>
          <w:szCs w:val="32"/>
        </w:rPr>
        <w:t>业奖学金评审：</w:t>
      </w:r>
    </w:p>
    <w:p>
      <w:pPr>
        <w:autoSpaceDE w:val="0"/>
        <w:autoSpaceDN w:val="0"/>
        <w:adjustRightInd w:val="0"/>
        <w:spacing w:line="360" w:lineRule="auto"/>
        <w:ind w:firstLine="640" w:firstLineChars="200"/>
        <w:rPr>
          <w:rFonts w:ascii="Times New Roman" w:hAnsi="Times New Roman" w:eastAsia="方正仿宋_GB2312" w:cs="Times New Roman"/>
          <w:color w:val="auto"/>
          <w:kern w:val="0"/>
          <w:sz w:val="32"/>
          <w:szCs w:val="32"/>
        </w:rPr>
      </w:pPr>
      <w:r>
        <w:rPr>
          <w:rFonts w:ascii="Times New Roman" w:hAnsi="Times New Roman" w:eastAsia="方正仿宋_GB2312" w:cs="Times New Roman"/>
          <w:color w:val="auto"/>
          <w:kern w:val="0"/>
          <w:sz w:val="32"/>
          <w:szCs w:val="32"/>
        </w:rPr>
        <w:t>（一）违反国家宪法、法律</w:t>
      </w:r>
      <w:r>
        <w:rPr>
          <w:rFonts w:hint="eastAsia" w:ascii="Times New Roman" w:hAnsi="Times New Roman" w:eastAsia="方正仿宋_GB2312" w:cs="Times New Roman"/>
          <w:color w:val="auto"/>
          <w:kern w:val="0"/>
          <w:sz w:val="32"/>
          <w:szCs w:val="32"/>
        </w:rPr>
        <w:t>；</w:t>
      </w:r>
    </w:p>
    <w:p>
      <w:pPr>
        <w:autoSpaceDE w:val="0"/>
        <w:autoSpaceDN w:val="0"/>
        <w:adjustRightInd w:val="0"/>
        <w:spacing w:line="360" w:lineRule="auto"/>
        <w:ind w:firstLine="640" w:firstLineChars="200"/>
        <w:rPr>
          <w:rFonts w:ascii="Times New Roman" w:hAnsi="Times New Roman" w:eastAsia="方正仿宋_GB2312" w:cs="Times New Roman"/>
          <w:color w:val="auto"/>
          <w:kern w:val="0"/>
          <w:sz w:val="32"/>
          <w:szCs w:val="32"/>
        </w:rPr>
      </w:pPr>
      <w:r>
        <w:rPr>
          <w:rFonts w:ascii="Times New Roman" w:hAnsi="Times New Roman" w:eastAsia="方正仿宋_GB2312" w:cs="Times New Roman"/>
          <w:color w:val="auto"/>
          <w:kern w:val="0"/>
          <w:sz w:val="32"/>
          <w:szCs w:val="32"/>
        </w:rPr>
        <w:t>（二）违反研究生入学考试规定、违反研究生学籍管理规定、违反学校学生违纪处分条例</w:t>
      </w:r>
      <w:r>
        <w:rPr>
          <w:rFonts w:hint="eastAsia" w:ascii="Times New Roman" w:hAnsi="Times New Roman" w:eastAsia="方正仿宋_GB2312" w:cs="Times New Roman"/>
          <w:color w:val="auto"/>
          <w:kern w:val="0"/>
          <w:sz w:val="32"/>
          <w:szCs w:val="32"/>
        </w:rPr>
        <w:t>；</w:t>
      </w:r>
    </w:p>
    <w:p>
      <w:pPr>
        <w:autoSpaceDE w:val="0"/>
        <w:autoSpaceDN w:val="0"/>
        <w:adjustRightInd w:val="0"/>
        <w:spacing w:line="360" w:lineRule="auto"/>
        <w:ind w:firstLine="640" w:firstLineChars="200"/>
        <w:rPr>
          <w:rFonts w:ascii="Times New Roman" w:hAnsi="Times New Roman" w:eastAsia="方正仿宋_GB2312" w:cs="Times New Roman"/>
          <w:color w:val="auto"/>
          <w:kern w:val="0"/>
          <w:sz w:val="32"/>
          <w:szCs w:val="32"/>
        </w:rPr>
      </w:pPr>
      <w:r>
        <w:rPr>
          <w:rFonts w:ascii="Times New Roman" w:hAnsi="Times New Roman" w:eastAsia="方正仿宋_GB2312" w:cs="Times New Roman"/>
          <w:color w:val="auto"/>
          <w:kern w:val="0"/>
          <w:sz w:val="32"/>
          <w:szCs w:val="32"/>
        </w:rPr>
        <w:t>（三）无正当理由，欠缴研究生学费</w:t>
      </w:r>
      <w:r>
        <w:rPr>
          <w:rFonts w:hint="eastAsia" w:ascii="Times New Roman" w:hAnsi="Times New Roman" w:eastAsia="方正仿宋_GB2312" w:cs="Times New Roman"/>
          <w:color w:val="auto"/>
          <w:kern w:val="0"/>
          <w:sz w:val="32"/>
          <w:szCs w:val="32"/>
        </w:rPr>
        <w:t>；</w:t>
      </w:r>
    </w:p>
    <w:p>
      <w:pPr>
        <w:autoSpaceDE w:val="0"/>
        <w:autoSpaceDN w:val="0"/>
        <w:adjustRightInd w:val="0"/>
        <w:spacing w:line="360" w:lineRule="auto"/>
        <w:ind w:firstLine="640" w:firstLineChars="200"/>
        <w:rPr>
          <w:rFonts w:ascii="Times New Roman" w:hAnsi="Times New Roman" w:eastAsia="方正仿宋_GB2312" w:cs="Times New Roman"/>
          <w:color w:val="auto"/>
          <w:kern w:val="0"/>
          <w:sz w:val="32"/>
          <w:szCs w:val="32"/>
        </w:rPr>
      </w:pPr>
      <w:r>
        <w:rPr>
          <w:rFonts w:ascii="Times New Roman" w:hAnsi="Times New Roman" w:eastAsia="方正仿宋_GB2312" w:cs="Times New Roman"/>
          <w:color w:val="auto"/>
          <w:kern w:val="0"/>
          <w:sz w:val="32"/>
          <w:szCs w:val="32"/>
        </w:rPr>
        <w:t>（四）违反研究生学术道德规范</w:t>
      </w:r>
      <w:r>
        <w:rPr>
          <w:rFonts w:hint="eastAsia" w:ascii="Times New Roman" w:hAnsi="Times New Roman" w:eastAsia="方正仿宋_GB2312" w:cs="Times New Roman"/>
          <w:color w:val="auto"/>
          <w:kern w:val="0"/>
          <w:sz w:val="32"/>
          <w:szCs w:val="32"/>
        </w:rPr>
        <w:t>；</w:t>
      </w:r>
    </w:p>
    <w:p>
      <w:pPr>
        <w:autoSpaceDE w:val="0"/>
        <w:autoSpaceDN w:val="0"/>
        <w:adjustRightInd w:val="0"/>
        <w:spacing w:line="360" w:lineRule="auto"/>
        <w:ind w:firstLine="640" w:firstLineChars="200"/>
        <w:rPr>
          <w:rFonts w:ascii="Times New Roman" w:hAnsi="Times New Roman" w:eastAsia="方正仿宋_GB2312" w:cs="Times New Roman"/>
          <w:color w:val="auto"/>
          <w:kern w:val="0"/>
          <w:sz w:val="32"/>
          <w:szCs w:val="32"/>
        </w:rPr>
      </w:pPr>
      <w:r>
        <w:rPr>
          <w:rFonts w:ascii="Times New Roman" w:hAnsi="Times New Roman" w:eastAsia="方正仿宋_GB2312" w:cs="Times New Roman"/>
          <w:color w:val="auto"/>
          <w:kern w:val="0"/>
          <w:sz w:val="32"/>
          <w:szCs w:val="32"/>
        </w:rPr>
        <w:t>（五）未在规定时间内将参评材料上传至研究生综合</w:t>
      </w:r>
      <w:r>
        <w:rPr>
          <w:rFonts w:hint="eastAsia" w:ascii="Times New Roman" w:hAnsi="Times New Roman" w:eastAsia="方正仿宋_GB2312" w:cs="Times New Roman"/>
          <w:color w:val="auto"/>
          <w:kern w:val="0"/>
          <w:sz w:val="32"/>
          <w:szCs w:val="32"/>
          <w:lang w:val="en-US" w:eastAsia="zh-CN"/>
        </w:rPr>
        <w:t>测评</w:t>
      </w:r>
      <w:r>
        <w:rPr>
          <w:rFonts w:ascii="Times New Roman" w:hAnsi="Times New Roman" w:eastAsia="方正仿宋_GB2312" w:cs="Times New Roman"/>
          <w:color w:val="auto"/>
          <w:kern w:val="0"/>
          <w:sz w:val="32"/>
          <w:szCs w:val="32"/>
        </w:rPr>
        <w:t>系统、未按时提交纸质证明材料</w:t>
      </w:r>
      <w:r>
        <w:rPr>
          <w:rFonts w:hint="eastAsia" w:ascii="Times New Roman" w:hAnsi="Times New Roman" w:eastAsia="方正仿宋_GB2312" w:cs="Times New Roman"/>
          <w:color w:val="auto"/>
          <w:kern w:val="0"/>
          <w:sz w:val="32"/>
          <w:szCs w:val="32"/>
        </w:rPr>
        <w:t>；</w:t>
      </w:r>
    </w:p>
    <w:p>
      <w:pPr>
        <w:autoSpaceDE w:val="0"/>
        <w:autoSpaceDN w:val="0"/>
        <w:adjustRightInd w:val="0"/>
        <w:spacing w:line="360" w:lineRule="auto"/>
        <w:ind w:firstLine="640" w:firstLineChars="200"/>
        <w:rPr>
          <w:rFonts w:ascii="Times New Roman" w:hAnsi="Times New Roman" w:eastAsia="方正仿宋_GB2312" w:cs="Times New Roman"/>
          <w:color w:val="auto"/>
          <w:kern w:val="0"/>
          <w:sz w:val="32"/>
          <w:szCs w:val="32"/>
        </w:rPr>
      </w:pPr>
      <w:r>
        <w:rPr>
          <w:rFonts w:ascii="Times New Roman" w:hAnsi="Times New Roman" w:eastAsia="方正仿宋_GB2312" w:cs="Times New Roman"/>
          <w:color w:val="auto"/>
          <w:kern w:val="0"/>
          <w:sz w:val="32"/>
          <w:szCs w:val="32"/>
        </w:rPr>
        <w:t>（六）发生学院认为不适合参评的其他情况。</w:t>
      </w:r>
    </w:p>
    <w:p>
      <w:pPr>
        <w:autoSpaceDE w:val="0"/>
        <w:autoSpaceDN w:val="0"/>
        <w:adjustRightInd w:val="0"/>
        <w:spacing w:line="360" w:lineRule="auto"/>
        <w:ind w:firstLine="640" w:firstLineChars="200"/>
        <w:rPr>
          <w:rFonts w:ascii="Times New Roman" w:hAnsi="Times New Roman" w:eastAsia="方正仿宋_GB2312" w:cs="Times New Roman"/>
          <w:color w:val="auto"/>
          <w:kern w:val="0"/>
          <w:sz w:val="32"/>
          <w:szCs w:val="32"/>
          <w:u w:val="none"/>
        </w:rPr>
      </w:pPr>
      <w:r>
        <w:rPr>
          <w:rFonts w:ascii="Times New Roman" w:hAnsi="Times New Roman" w:eastAsia="方正仿宋_GB2312" w:cs="Times New Roman"/>
          <w:kern w:val="0"/>
          <w:sz w:val="32"/>
          <w:szCs w:val="32"/>
        </w:rPr>
        <w:t>已获得研究生学业奖学金的同学，若发现有上述情况</w:t>
      </w:r>
      <w:r>
        <w:rPr>
          <w:rFonts w:ascii="Times New Roman" w:hAnsi="Times New Roman" w:eastAsia="方正仿宋_GB2312" w:cs="Times New Roman"/>
          <w:color w:val="auto"/>
          <w:kern w:val="0"/>
          <w:sz w:val="32"/>
          <w:szCs w:val="32"/>
          <w:u w:val="none"/>
        </w:rPr>
        <w:t>的，撤销其学业奖学金获奖资格，收回</w:t>
      </w:r>
      <w:r>
        <w:rPr>
          <w:rFonts w:hint="eastAsia" w:ascii="Times New Roman" w:hAnsi="Times New Roman" w:eastAsia="方正仿宋_GB2312" w:cs="Times New Roman"/>
          <w:color w:val="auto"/>
          <w:kern w:val="0"/>
          <w:sz w:val="32"/>
          <w:szCs w:val="32"/>
          <w:u w:val="none"/>
        </w:rPr>
        <w:t>奖学金和</w:t>
      </w:r>
      <w:r>
        <w:rPr>
          <w:rFonts w:ascii="Times New Roman" w:hAnsi="Times New Roman" w:eastAsia="方正仿宋_GB2312" w:cs="Times New Roman"/>
          <w:color w:val="auto"/>
          <w:kern w:val="0"/>
          <w:sz w:val="32"/>
          <w:szCs w:val="32"/>
          <w:u w:val="none"/>
        </w:rPr>
        <w:t>获奖证书。</w:t>
      </w:r>
    </w:p>
    <w:p>
      <w:pPr>
        <w:numPr>
          <w:ilvl w:val="0"/>
          <w:numId w:val="4"/>
        </w:numPr>
        <w:autoSpaceDE w:val="0"/>
        <w:autoSpaceDN w:val="0"/>
        <w:adjustRightInd w:val="0"/>
        <w:spacing w:line="360" w:lineRule="auto"/>
        <w:ind w:firstLine="640" w:firstLineChars="200"/>
        <w:rPr>
          <w:rFonts w:hint="eastAsia" w:ascii="Times New Roman" w:hAnsi="Times New Roman" w:eastAsia="方正仿宋_GB2312" w:cs="Times New Roman"/>
          <w:color w:val="auto"/>
          <w:kern w:val="0"/>
          <w:sz w:val="32"/>
          <w:szCs w:val="32"/>
          <w:u w:val="none"/>
        </w:rPr>
      </w:pPr>
      <w:r>
        <w:rPr>
          <w:rFonts w:hint="eastAsia" w:ascii="Times New Roman" w:hAnsi="Times New Roman" w:eastAsia="方正仿宋_GB2312" w:cs="Times New Roman"/>
          <w:color w:val="auto"/>
          <w:kern w:val="0"/>
          <w:sz w:val="32"/>
          <w:szCs w:val="32"/>
          <w:u w:val="none"/>
        </w:rPr>
        <w:t>参评年度内有因课程不合格需要补考或重修者，不得参评一等奖学金。</w:t>
      </w:r>
    </w:p>
    <w:p>
      <w:pPr>
        <w:numPr>
          <w:ilvl w:val="0"/>
          <w:numId w:val="0"/>
        </w:numPr>
        <w:autoSpaceDE w:val="0"/>
        <w:autoSpaceDN w:val="0"/>
        <w:adjustRightInd w:val="0"/>
        <w:spacing w:line="360" w:lineRule="auto"/>
        <w:rPr>
          <w:rFonts w:hint="eastAsia" w:ascii="Times New Roman" w:hAnsi="Times New Roman" w:eastAsia="方正仿宋_GB2312" w:cs="Times New Roman"/>
          <w:kern w:val="0"/>
          <w:sz w:val="32"/>
          <w:szCs w:val="32"/>
          <w:u w:val="single"/>
        </w:rPr>
      </w:pPr>
    </w:p>
    <w:p>
      <w:pPr>
        <w:autoSpaceDE w:val="0"/>
        <w:autoSpaceDN w:val="0"/>
        <w:adjustRightInd w:val="0"/>
        <w:spacing w:line="360" w:lineRule="auto"/>
        <w:jc w:val="center"/>
        <w:rPr>
          <w:rFonts w:ascii="黑体" w:hAnsi="黑体" w:eastAsia="黑体" w:cs="黑体"/>
          <w:kern w:val="0"/>
          <w:sz w:val="32"/>
          <w:szCs w:val="32"/>
        </w:rPr>
      </w:pPr>
      <w:r>
        <w:rPr>
          <w:rFonts w:hint="eastAsia" w:ascii="黑体" w:hAnsi="黑体" w:eastAsia="黑体" w:cs="黑体"/>
          <w:kern w:val="0"/>
          <w:sz w:val="32"/>
          <w:szCs w:val="32"/>
        </w:rPr>
        <w:t>第四章  评审组织与程序</w:t>
      </w:r>
    </w:p>
    <w:p>
      <w:pPr>
        <w:pStyle w:val="6"/>
        <w:spacing w:before="0" w:beforeAutospacing="0" w:after="0" w:afterAutospacing="0" w:line="360" w:lineRule="auto"/>
        <w:ind w:firstLine="643"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b/>
          <w:bCs/>
          <w:sz w:val="32"/>
          <w:szCs w:val="32"/>
        </w:rPr>
        <w:t>第</w:t>
      </w:r>
      <w:r>
        <w:rPr>
          <w:rFonts w:hint="eastAsia" w:ascii="Times New Roman" w:hAnsi="Times New Roman" w:eastAsia="方正仿宋_GB2312" w:cs="Times New Roman"/>
          <w:b/>
          <w:bCs/>
          <w:sz w:val="32"/>
          <w:szCs w:val="32"/>
        </w:rPr>
        <w:t>十一</w:t>
      </w:r>
      <w:r>
        <w:rPr>
          <w:rFonts w:ascii="Times New Roman" w:hAnsi="Times New Roman" w:eastAsia="方正仿宋_GB2312" w:cs="Times New Roman"/>
          <w:b/>
          <w:bCs/>
          <w:sz w:val="32"/>
          <w:szCs w:val="32"/>
        </w:rPr>
        <w:t>条</w:t>
      </w:r>
      <w:r>
        <w:rPr>
          <w:rFonts w:hint="eastAsia" w:ascii="Times New Roman" w:hAnsi="Times New Roman" w:eastAsia="方正仿宋_GB2312" w:cs="Times New Roman"/>
          <w:sz w:val="32"/>
          <w:szCs w:val="32"/>
        </w:rPr>
        <w:t xml:space="preserve"> </w:t>
      </w:r>
      <w:r>
        <w:rPr>
          <w:rFonts w:ascii="Times New Roman" w:hAnsi="Times New Roman" w:eastAsia="方正仿宋_GB2312" w:cs="Times New Roman"/>
          <w:sz w:val="32"/>
          <w:szCs w:val="32"/>
        </w:rPr>
        <w:t>学院成立由主要领导任主任委员，分管领导任副主任委员，研究生导师代表、研究生辅导员、研究生教学秘书、研究生代表任委员的</w:t>
      </w:r>
      <w:r>
        <w:rPr>
          <w:rFonts w:hint="eastAsia" w:ascii="Times New Roman" w:hAnsi="Times New Roman" w:eastAsia="方正仿宋_GB2312" w:cs="Times New Roman"/>
          <w:sz w:val="32"/>
          <w:szCs w:val="32"/>
        </w:rPr>
        <w:t>研究生学业奖学金</w:t>
      </w:r>
      <w:r>
        <w:rPr>
          <w:rFonts w:ascii="Times New Roman" w:hAnsi="Times New Roman" w:eastAsia="方正仿宋_GB2312" w:cs="Times New Roman"/>
          <w:sz w:val="32"/>
          <w:szCs w:val="32"/>
        </w:rPr>
        <w:t>评审委员会</w:t>
      </w:r>
      <w:r>
        <w:rPr>
          <w:rFonts w:hint="eastAsia" w:ascii="Times New Roman" w:hAnsi="Times New Roman" w:eastAsia="方正仿宋_GB2312" w:cs="Times New Roman"/>
          <w:sz w:val="32"/>
          <w:szCs w:val="32"/>
        </w:rPr>
        <w:t>（以下简称“评审委员会”）</w:t>
      </w:r>
      <w:r>
        <w:rPr>
          <w:rFonts w:ascii="Times New Roman" w:hAnsi="Times New Roman" w:eastAsia="方正仿宋_GB2312" w:cs="Times New Roman"/>
          <w:sz w:val="32"/>
          <w:szCs w:val="32"/>
        </w:rPr>
        <w:t>。评审委员会名单报学校研究生工作部备案。</w:t>
      </w:r>
    </w:p>
    <w:p>
      <w:pPr>
        <w:pStyle w:val="6"/>
        <w:widowControl w:val="0"/>
        <w:spacing w:before="0" w:beforeAutospacing="0" w:after="0" w:afterAutospacing="0" w:line="360" w:lineRule="auto"/>
        <w:ind w:firstLine="643"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b/>
          <w:bCs/>
          <w:sz w:val="32"/>
          <w:szCs w:val="32"/>
        </w:rPr>
        <w:t>第</w:t>
      </w:r>
      <w:r>
        <w:rPr>
          <w:rFonts w:hint="eastAsia" w:ascii="Times New Roman" w:hAnsi="Times New Roman" w:eastAsia="方正仿宋_GB2312" w:cs="Times New Roman"/>
          <w:b/>
          <w:bCs/>
          <w:sz w:val="32"/>
          <w:szCs w:val="32"/>
        </w:rPr>
        <w:t>十二</w:t>
      </w:r>
      <w:r>
        <w:rPr>
          <w:rFonts w:ascii="Times New Roman" w:hAnsi="Times New Roman" w:eastAsia="方正仿宋_GB2312" w:cs="Times New Roman"/>
          <w:b/>
          <w:bCs/>
          <w:sz w:val="32"/>
          <w:szCs w:val="32"/>
        </w:rPr>
        <w:t>条</w:t>
      </w:r>
      <w:r>
        <w:rPr>
          <w:rFonts w:hint="eastAsia" w:ascii="Times New Roman" w:hAnsi="Times New Roman" w:eastAsia="方正仿宋_GB2312" w:cs="Times New Roman"/>
          <w:sz w:val="32"/>
          <w:szCs w:val="32"/>
        </w:rPr>
        <w:t xml:space="preserve"> </w:t>
      </w:r>
      <w:r>
        <w:rPr>
          <w:rFonts w:ascii="Times New Roman" w:hAnsi="Times New Roman" w:eastAsia="方正仿宋_GB2312" w:cs="Times New Roman"/>
          <w:sz w:val="32"/>
          <w:szCs w:val="32"/>
        </w:rPr>
        <w:t>研究生新生学业奖学金的发放工作由研究生工作部负责，研究生学年学业奖学金由学院进行初评，学校审定。</w:t>
      </w:r>
    </w:p>
    <w:p>
      <w:pPr>
        <w:pStyle w:val="6"/>
        <w:widowControl w:val="0"/>
        <w:spacing w:before="0" w:beforeAutospacing="0" w:after="0" w:afterAutospacing="0" w:line="360" w:lineRule="auto"/>
        <w:ind w:firstLine="643" w:firstLineChars="200"/>
        <w:jc w:val="both"/>
        <w:rPr>
          <w:rFonts w:ascii="Times New Roman" w:hAnsi="Times New Roman" w:eastAsia="方正仿宋_GB2312" w:cs="Times New Roman"/>
          <w:color w:val="auto"/>
          <w:sz w:val="32"/>
          <w:szCs w:val="32"/>
        </w:rPr>
      </w:pPr>
      <w:r>
        <w:rPr>
          <w:rFonts w:hint="eastAsia" w:ascii="Times New Roman" w:hAnsi="Times New Roman" w:eastAsia="方正仿宋_GB2312" w:cs="Times New Roman"/>
          <w:b/>
          <w:bCs/>
          <w:color w:val="auto"/>
          <w:sz w:val="32"/>
          <w:szCs w:val="32"/>
        </w:rPr>
        <w:t>第十三条</w:t>
      </w:r>
      <w:r>
        <w:rPr>
          <w:rFonts w:hint="eastAsia" w:ascii="Times New Roman" w:hAnsi="Times New Roman" w:eastAsia="方正仿宋_GB2312" w:cs="Times New Roman"/>
          <w:color w:val="auto"/>
          <w:sz w:val="32"/>
          <w:szCs w:val="32"/>
        </w:rPr>
        <w:t xml:space="preserve"> </w:t>
      </w:r>
      <w:r>
        <w:rPr>
          <w:rFonts w:ascii="Times New Roman" w:hAnsi="Times New Roman" w:eastAsia="方正仿宋_GB2312" w:cs="Times New Roman"/>
          <w:color w:val="auto"/>
          <w:sz w:val="32"/>
          <w:szCs w:val="32"/>
        </w:rPr>
        <w:t>根据学校年度划拨学业奖学金总额，学院评审委员会按比例设置各奖项可评选数量。</w:t>
      </w:r>
    </w:p>
    <w:p>
      <w:pPr>
        <w:autoSpaceDE w:val="0"/>
        <w:autoSpaceDN w:val="0"/>
        <w:adjustRightInd w:val="0"/>
        <w:spacing w:line="360" w:lineRule="auto"/>
        <w:ind w:firstLine="643" w:firstLineChars="200"/>
        <w:rPr>
          <w:rFonts w:ascii="Times New Roman" w:hAnsi="Times New Roman" w:eastAsia="方正仿宋_GB2312" w:cs="Times New Roman"/>
          <w:kern w:val="0"/>
          <w:sz w:val="32"/>
          <w:szCs w:val="32"/>
        </w:rPr>
      </w:pPr>
      <w:r>
        <w:rPr>
          <w:rFonts w:hint="eastAsia" w:ascii="Times New Roman" w:hAnsi="Times New Roman" w:eastAsia="方正仿宋_GB2312" w:cs="Times New Roman"/>
          <w:b/>
          <w:bCs/>
          <w:color w:val="auto"/>
          <w:kern w:val="0"/>
          <w:sz w:val="32"/>
          <w:szCs w:val="32"/>
        </w:rPr>
        <w:t>第十四条</w:t>
      </w:r>
      <w:r>
        <w:rPr>
          <w:rFonts w:hint="eastAsia" w:ascii="Times New Roman" w:hAnsi="Times New Roman" w:eastAsia="方正仿宋_GB2312" w:cs="Times New Roman"/>
          <w:color w:val="auto"/>
          <w:kern w:val="0"/>
          <w:sz w:val="32"/>
          <w:szCs w:val="32"/>
        </w:rPr>
        <w:t xml:space="preserve"> </w:t>
      </w:r>
      <w:r>
        <w:rPr>
          <w:rFonts w:ascii="Times New Roman" w:hAnsi="Times New Roman" w:eastAsia="方正仿宋_GB2312" w:cs="Times New Roman"/>
          <w:color w:val="auto"/>
          <w:kern w:val="0"/>
          <w:sz w:val="32"/>
          <w:szCs w:val="32"/>
        </w:rPr>
        <w:t>研究生学年学业奖学金评审采用个人申报</w:t>
      </w:r>
      <w:r>
        <w:rPr>
          <w:rFonts w:ascii="Times New Roman" w:hAnsi="Times New Roman" w:eastAsia="方正仿宋_GB2312" w:cs="Times New Roman"/>
          <w:kern w:val="0"/>
          <w:sz w:val="32"/>
          <w:szCs w:val="32"/>
        </w:rPr>
        <w:t>制。学生本人在综合测评基础上，根据奖学金评选条件和个人实际进行自愿申报。凡不申报者，视为自动放弃评选资格。</w:t>
      </w:r>
    </w:p>
    <w:p>
      <w:pPr>
        <w:autoSpaceDE w:val="0"/>
        <w:autoSpaceDN w:val="0"/>
        <w:adjustRightInd w:val="0"/>
        <w:spacing w:line="360" w:lineRule="auto"/>
        <w:ind w:firstLine="643" w:firstLineChars="200"/>
        <w:rPr>
          <w:rFonts w:ascii="Times New Roman" w:hAnsi="Times New Roman" w:eastAsia="方正仿宋_GB2312" w:cs="Times New Roman"/>
          <w:kern w:val="0"/>
          <w:sz w:val="32"/>
          <w:szCs w:val="32"/>
        </w:rPr>
      </w:pPr>
      <w:r>
        <w:rPr>
          <w:rFonts w:hint="eastAsia" w:ascii="Times New Roman" w:hAnsi="Times New Roman" w:eastAsia="方正仿宋_GB2312" w:cs="Times New Roman"/>
          <w:b/>
          <w:bCs/>
          <w:color w:val="auto"/>
          <w:kern w:val="0"/>
          <w:sz w:val="32"/>
          <w:szCs w:val="32"/>
        </w:rPr>
        <w:t>第十五条</w:t>
      </w:r>
      <w:r>
        <w:rPr>
          <w:rFonts w:hint="eastAsia" w:ascii="Times New Roman" w:hAnsi="Times New Roman" w:eastAsia="方正仿宋_GB2312" w:cs="Times New Roman"/>
          <w:color w:val="auto"/>
          <w:kern w:val="0"/>
          <w:sz w:val="32"/>
          <w:szCs w:val="32"/>
        </w:rPr>
        <w:t xml:space="preserve"> </w:t>
      </w:r>
      <w:r>
        <w:rPr>
          <w:rFonts w:ascii="Times New Roman" w:hAnsi="Times New Roman" w:eastAsia="方正仿宋_GB2312" w:cs="Times New Roman"/>
          <w:color w:val="auto"/>
          <w:kern w:val="0"/>
          <w:sz w:val="32"/>
          <w:szCs w:val="32"/>
        </w:rPr>
        <w:t>学院研究生学业奖学金名单</w:t>
      </w:r>
      <w:r>
        <w:rPr>
          <w:rFonts w:hint="eastAsia" w:ascii="Times New Roman" w:hAnsi="Times New Roman" w:eastAsia="方正仿宋_GB2312" w:cs="Times New Roman"/>
          <w:color w:val="auto"/>
          <w:kern w:val="0"/>
          <w:sz w:val="32"/>
          <w:szCs w:val="32"/>
        </w:rPr>
        <w:t>评定</w:t>
      </w:r>
      <w:r>
        <w:rPr>
          <w:rFonts w:ascii="Times New Roman" w:hAnsi="Times New Roman" w:eastAsia="方正仿宋_GB2312" w:cs="Times New Roman"/>
          <w:color w:val="auto"/>
          <w:kern w:val="0"/>
          <w:sz w:val="32"/>
          <w:szCs w:val="32"/>
        </w:rPr>
        <w:t>后，在学院内公示</w:t>
      </w:r>
      <w:r>
        <w:rPr>
          <w:rFonts w:hint="eastAsia" w:ascii="Times New Roman" w:hAnsi="Times New Roman" w:eastAsia="方正仿宋_GB2312" w:cs="Times New Roman"/>
          <w:color w:val="auto"/>
          <w:kern w:val="0"/>
          <w:sz w:val="32"/>
          <w:szCs w:val="32"/>
        </w:rPr>
        <w:t>不少于</w:t>
      </w:r>
      <w:r>
        <w:rPr>
          <w:rFonts w:hint="eastAsia" w:ascii="Times New Roman" w:hAnsi="Times New Roman" w:eastAsia="方正仿宋_GB2312" w:cs="Times New Roman"/>
          <w:color w:val="auto"/>
          <w:kern w:val="0"/>
          <w:sz w:val="32"/>
          <w:szCs w:val="32"/>
          <w:lang w:val="en-US" w:eastAsia="zh-CN"/>
        </w:rPr>
        <w:t>5</w:t>
      </w:r>
      <w:r>
        <w:rPr>
          <w:rFonts w:hint="eastAsia" w:ascii="Times New Roman" w:hAnsi="Times New Roman" w:eastAsia="方正仿宋_GB2312" w:cs="Times New Roman"/>
          <w:color w:val="auto"/>
          <w:kern w:val="0"/>
          <w:sz w:val="32"/>
          <w:szCs w:val="32"/>
        </w:rPr>
        <w:t>个工作日。</w:t>
      </w:r>
      <w:r>
        <w:rPr>
          <w:rFonts w:ascii="Times New Roman" w:hAnsi="Times New Roman" w:eastAsia="方正仿宋_GB2312" w:cs="Times New Roman"/>
          <w:color w:val="auto"/>
          <w:kern w:val="0"/>
          <w:sz w:val="32"/>
          <w:szCs w:val="32"/>
        </w:rPr>
        <w:t>公示无异议后，提交校研究生学</w:t>
      </w:r>
      <w:r>
        <w:rPr>
          <w:rFonts w:ascii="Times New Roman" w:hAnsi="Times New Roman" w:eastAsia="方正仿宋_GB2312" w:cs="Times New Roman"/>
          <w:kern w:val="0"/>
          <w:sz w:val="32"/>
          <w:szCs w:val="32"/>
        </w:rPr>
        <w:t>业奖学金评审领导小组审定并公示。</w:t>
      </w:r>
    </w:p>
    <w:p>
      <w:pPr>
        <w:autoSpaceDE w:val="0"/>
        <w:autoSpaceDN w:val="0"/>
        <w:adjustRightInd w:val="0"/>
        <w:spacing w:line="360" w:lineRule="auto"/>
        <w:ind w:firstLine="643" w:firstLineChars="200"/>
        <w:rPr>
          <w:rFonts w:ascii="Times New Roman" w:hAnsi="Times New Roman" w:eastAsia="方正仿宋_GB2312" w:cs="Times New Roman"/>
          <w:kern w:val="0"/>
          <w:sz w:val="32"/>
          <w:szCs w:val="32"/>
        </w:rPr>
      </w:pPr>
      <w:r>
        <w:rPr>
          <w:rFonts w:hint="eastAsia" w:ascii="Times New Roman" w:hAnsi="Times New Roman" w:eastAsia="方正仿宋_GB2312" w:cs="Times New Roman"/>
          <w:b/>
          <w:bCs/>
          <w:kern w:val="0"/>
          <w:sz w:val="32"/>
          <w:szCs w:val="32"/>
        </w:rPr>
        <w:t>第十六条</w:t>
      </w:r>
      <w:r>
        <w:rPr>
          <w:rFonts w:hint="eastAsia" w:ascii="Times New Roman" w:hAnsi="Times New Roman" w:eastAsia="方正仿宋_GB2312" w:cs="Times New Roman"/>
          <w:kern w:val="0"/>
          <w:sz w:val="32"/>
          <w:szCs w:val="32"/>
        </w:rPr>
        <w:t xml:space="preserve"> </w:t>
      </w:r>
      <w:r>
        <w:rPr>
          <w:rFonts w:ascii="Times New Roman" w:hAnsi="Times New Roman" w:eastAsia="方正仿宋_GB2312" w:cs="Times New Roman"/>
          <w:kern w:val="0"/>
          <w:sz w:val="32"/>
          <w:szCs w:val="32"/>
        </w:rPr>
        <w:t>对研究生学业奖学金评审结果有异议者，可在学院公示期内向学院评审委员会提出申诉，学院评审委员会应在3个工作日内予以答复。如申诉人对学院做出的答复仍有异议，可在学校公示阶段向校研究生学业奖学金评审领导小组提请裁决。</w:t>
      </w:r>
    </w:p>
    <w:p>
      <w:pPr>
        <w:autoSpaceDE w:val="0"/>
        <w:autoSpaceDN w:val="0"/>
        <w:adjustRightInd w:val="0"/>
        <w:spacing w:line="360" w:lineRule="auto"/>
        <w:ind w:firstLine="643" w:firstLineChars="200"/>
        <w:rPr>
          <w:rFonts w:ascii="Times New Roman" w:hAnsi="Times New Roman" w:eastAsia="方正仿宋_GB2312" w:cs="Times New Roman"/>
          <w:kern w:val="0"/>
          <w:sz w:val="32"/>
          <w:szCs w:val="32"/>
        </w:rPr>
      </w:pPr>
      <w:r>
        <w:rPr>
          <w:rFonts w:hint="eastAsia" w:ascii="Times New Roman" w:hAnsi="Times New Roman" w:eastAsia="方正仿宋_GB2312" w:cs="Times New Roman"/>
          <w:b/>
          <w:bCs/>
          <w:kern w:val="0"/>
          <w:sz w:val="32"/>
          <w:szCs w:val="32"/>
        </w:rPr>
        <w:t>第十七条</w:t>
      </w:r>
      <w:r>
        <w:rPr>
          <w:rFonts w:hint="eastAsia" w:ascii="Times New Roman" w:hAnsi="Times New Roman" w:eastAsia="方正仿宋_GB2312" w:cs="Times New Roman"/>
          <w:kern w:val="0"/>
          <w:sz w:val="32"/>
          <w:szCs w:val="32"/>
        </w:rPr>
        <w:t xml:space="preserve"> </w:t>
      </w:r>
      <w:r>
        <w:rPr>
          <w:rFonts w:ascii="Times New Roman" w:hAnsi="Times New Roman" w:eastAsia="方正仿宋_GB2312" w:cs="Times New Roman"/>
          <w:kern w:val="0"/>
          <w:sz w:val="32"/>
          <w:szCs w:val="32"/>
        </w:rPr>
        <w:t>本办法</w:t>
      </w:r>
      <w:r>
        <w:rPr>
          <w:rFonts w:hint="eastAsia" w:ascii="Times New Roman" w:hAnsi="Times New Roman" w:eastAsia="方正仿宋_GB2312" w:cs="Times New Roman"/>
          <w:kern w:val="0"/>
          <w:sz w:val="32"/>
          <w:szCs w:val="32"/>
        </w:rPr>
        <w:t>由</w:t>
      </w:r>
      <w:r>
        <w:rPr>
          <w:rFonts w:ascii="Times New Roman" w:hAnsi="Times New Roman" w:eastAsia="方正仿宋_GB2312" w:cs="Times New Roman"/>
          <w:kern w:val="0"/>
          <w:sz w:val="32"/>
          <w:szCs w:val="32"/>
        </w:rPr>
        <w:t>学院</w:t>
      </w:r>
      <w:r>
        <w:rPr>
          <w:rFonts w:hint="eastAsia" w:ascii="Times New Roman" w:hAnsi="Times New Roman" w:eastAsia="方正仿宋_GB2312" w:cs="Times New Roman"/>
          <w:sz w:val="32"/>
          <w:szCs w:val="32"/>
        </w:rPr>
        <w:t>研究生学业奖学金</w:t>
      </w:r>
      <w:r>
        <w:rPr>
          <w:rFonts w:ascii="Times New Roman" w:hAnsi="Times New Roman" w:eastAsia="方正仿宋_GB2312" w:cs="Times New Roman"/>
          <w:sz w:val="32"/>
          <w:szCs w:val="32"/>
        </w:rPr>
        <w:t>评审委员会</w:t>
      </w:r>
      <w:r>
        <w:rPr>
          <w:rFonts w:ascii="Times New Roman" w:hAnsi="Times New Roman" w:eastAsia="方正仿宋_GB2312" w:cs="Times New Roman"/>
          <w:kern w:val="0"/>
          <w:sz w:val="32"/>
          <w:szCs w:val="32"/>
        </w:rPr>
        <w:t>负责解释。</w:t>
      </w:r>
    </w:p>
    <w:p>
      <w:pPr>
        <w:autoSpaceDE w:val="0"/>
        <w:autoSpaceDN w:val="0"/>
        <w:adjustRightInd w:val="0"/>
        <w:spacing w:line="360" w:lineRule="auto"/>
        <w:ind w:firstLine="643" w:firstLineChars="200"/>
        <w:rPr>
          <w:rFonts w:ascii="Times New Roman" w:hAnsi="Times New Roman" w:eastAsia="方正仿宋_GB2312" w:cs="Times New Roman"/>
          <w:color w:val="auto"/>
          <w:kern w:val="0"/>
          <w:sz w:val="32"/>
          <w:szCs w:val="32"/>
        </w:rPr>
      </w:pPr>
      <w:r>
        <w:rPr>
          <w:rFonts w:hint="eastAsia" w:ascii="Times New Roman" w:hAnsi="Times New Roman" w:eastAsia="方正仿宋_GB2312" w:cs="Times New Roman"/>
          <w:b/>
          <w:bCs/>
          <w:color w:val="auto"/>
          <w:kern w:val="0"/>
          <w:sz w:val="32"/>
          <w:szCs w:val="32"/>
        </w:rPr>
        <w:t>第十八条</w:t>
      </w:r>
      <w:r>
        <w:rPr>
          <w:rFonts w:hint="eastAsia" w:ascii="Times New Roman" w:hAnsi="Times New Roman" w:eastAsia="方正仿宋_GB2312" w:cs="Times New Roman"/>
          <w:color w:val="auto"/>
          <w:kern w:val="0"/>
          <w:sz w:val="32"/>
          <w:szCs w:val="32"/>
        </w:rPr>
        <w:t xml:space="preserve"> </w:t>
      </w:r>
      <w:r>
        <w:rPr>
          <w:rFonts w:ascii="Times New Roman" w:hAnsi="Times New Roman" w:eastAsia="方正仿宋_GB2312" w:cs="Times New Roman"/>
          <w:color w:val="auto"/>
          <w:kern w:val="0"/>
          <w:sz w:val="32"/>
          <w:szCs w:val="32"/>
        </w:rPr>
        <w:t>本办法</w:t>
      </w:r>
      <w:r>
        <w:rPr>
          <w:rFonts w:hint="eastAsia" w:ascii="Times New Roman" w:hAnsi="Times New Roman" w:eastAsia="方正仿宋_GB2312" w:cs="Times New Roman"/>
          <w:color w:val="auto"/>
          <w:kern w:val="0"/>
          <w:sz w:val="32"/>
          <w:szCs w:val="32"/>
        </w:rPr>
        <w:t>自</w:t>
      </w:r>
      <w:r>
        <w:rPr>
          <w:rFonts w:hint="eastAsia" w:ascii="Times New Roman" w:hAnsi="Times New Roman" w:eastAsia="方正仿宋_GB2312" w:cs="Times New Roman"/>
          <w:color w:val="auto"/>
          <w:kern w:val="0"/>
          <w:sz w:val="32"/>
          <w:szCs w:val="32"/>
          <w:lang w:val="en-US" w:eastAsia="zh-CN"/>
        </w:rPr>
        <w:t>发布之日起</w:t>
      </w:r>
      <w:r>
        <w:rPr>
          <w:rFonts w:hint="eastAsia" w:ascii="Times New Roman" w:hAnsi="Times New Roman" w:eastAsia="方正仿宋_GB2312" w:cs="Times New Roman"/>
          <w:color w:val="auto"/>
          <w:kern w:val="0"/>
          <w:sz w:val="32"/>
          <w:szCs w:val="32"/>
        </w:rPr>
        <w:t>施</w:t>
      </w:r>
      <w:r>
        <w:rPr>
          <w:rFonts w:ascii="Times New Roman" w:hAnsi="Times New Roman" w:eastAsia="方正仿宋_GB2312" w:cs="Times New Roman"/>
          <w:color w:val="auto"/>
          <w:kern w:val="0"/>
          <w:sz w:val="32"/>
          <w:szCs w:val="32"/>
        </w:rPr>
        <w:t>行。</w:t>
      </w:r>
    </w:p>
    <w:p>
      <w:pPr>
        <w:autoSpaceDE w:val="0"/>
        <w:autoSpaceDN w:val="0"/>
        <w:adjustRightInd w:val="0"/>
        <w:spacing w:line="360" w:lineRule="auto"/>
        <w:ind w:firstLine="640" w:firstLineChars="200"/>
        <w:rPr>
          <w:rFonts w:ascii="Times New Roman" w:hAnsi="Times New Roman" w:eastAsia="方正仿宋_GB2312" w:cs="Times New Roman"/>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小标宋简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2312">
    <w:altName w:val="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A8EE5"/>
    <w:multiLevelType w:val="singleLevel"/>
    <w:tmpl w:val="AA0A8EE5"/>
    <w:lvl w:ilvl="0" w:tentative="0">
      <w:start w:val="10"/>
      <w:numFmt w:val="chineseCounting"/>
      <w:suff w:val="space"/>
      <w:lvlText w:val="第%1条"/>
      <w:lvlJc w:val="left"/>
      <w:rPr>
        <w:rFonts w:hint="eastAsia"/>
        <w:b/>
        <w:bCs/>
      </w:rPr>
    </w:lvl>
  </w:abstractNum>
  <w:abstractNum w:abstractNumId="1">
    <w:nsid w:val="59FBFE85"/>
    <w:multiLevelType w:val="singleLevel"/>
    <w:tmpl w:val="59FBFE85"/>
    <w:lvl w:ilvl="0" w:tentative="0">
      <w:start w:val="1"/>
      <w:numFmt w:val="chineseCounting"/>
      <w:suff w:val="space"/>
      <w:lvlText w:val="第%1章"/>
      <w:lvlJc w:val="left"/>
    </w:lvl>
  </w:abstractNum>
  <w:abstractNum w:abstractNumId="2">
    <w:nsid w:val="59FE6F94"/>
    <w:multiLevelType w:val="singleLevel"/>
    <w:tmpl w:val="59FE6F94"/>
    <w:lvl w:ilvl="0" w:tentative="0">
      <w:start w:val="2"/>
      <w:numFmt w:val="chineseCounting"/>
      <w:suff w:val="nothing"/>
      <w:lvlText w:val="（%1）"/>
      <w:lvlJc w:val="left"/>
    </w:lvl>
  </w:abstractNum>
  <w:abstractNum w:abstractNumId="3">
    <w:nsid w:val="59FE7295"/>
    <w:multiLevelType w:val="singleLevel"/>
    <w:tmpl w:val="59FE7295"/>
    <w:lvl w:ilvl="0" w:tentative="0">
      <w:start w:val="3"/>
      <w:numFmt w:val="chineseCounting"/>
      <w:suff w:val="space"/>
      <w:lvlText w:val="第%1章"/>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MDMwNjU2NzQ0MmI5YjFiYjJkNTM4MmZhOWFmYWIifQ=="/>
  </w:docVars>
  <w:rsids>
    <w:rsidRoot w:val="71BB4239"/>
    <w:rsid w:val="00743563"/>
    <w:rsid w:val="009B260C"/>
    <w:rsid w:val="00F00A97"/>
    <w:rsid w:val="028549E7"/>
    <w:rsid w:val="0774143A"/>
    <w:rsid w:val="0C894C37"/>
    <w:rsid w:val="0DF67566"/>
    <w:rsid w:val="104017AB"/>
    <w:rsid w:val="10C325AF"/>
    <w:rsid w:val="112806F7"/>
    <w:rsid w:val="11CE09AE"/>
    <w:rsid w:val="11FE1889"/>
    <w:rsid w:val="126415D6"/>
    <w:rsid w:val="13045FAC"/>
    <w:rsid w:val="156E5860"/>
    <w:rsid w:val="16B0502F"/>
    <w:rsid w:val="18441F0F"/>
    <w:rsid w:val="18D04530"/>
    <w:rsid w:val="1C131C19"/>
    <w:rsid w:val="1CFB6417"/>
    <w:rsid w:val="1DB85A51"/>
    <w:rsid w:val="1DBE47FD"/>
    <w:rsid w:val="20A96ED4"/>
    <w:rsid w:val="21673F68"/>
    <w:rsid w:val="21BF4A52"/>
    <w:rsid w:val="226E273D"/>
    <w:rsid w:val="22B00D9B"/>
    <w:rsid w:val="29F60A21"/>
    <w:rsid w:val="2A2B5402"/>
    <w:rsid w:val="2BEA4C6C"/>
    <w:rsid w:val="2D4E09BB"/>
    <w:rsid w:val="2DAC1499"/>
    <w:rsid w:val="349513D8"/>
    <w:rsid w:val="41632D7A"/>
    <w:rsid w:val="42181B82"/>
    <w:rsid w:val="45D472E6"/>
    <w:rsid w:val="46B10B82"/>
    <w:rsid w:val="46D66646"/>
    <w:rsid w:val="48A03ADB"/>
    <w:rsid w:val="48CA3F1D"/>
    <w:rsid w:val="4BAA7FB0"/>
    <w:rsid w:val="4BF42B06"/>
    <w:rsid w:val="4D1B2992"/>
    <w:rsid w:val="4DA049FE"/>
    <w:rsid w:val="4FCC2AEE"/>
    <w:rsid w:val="536356BC"/>
    <w:rsid w:val="55097E7E"/>
    <w:rsid w:val="56915142"/>
    <w:rsid w:val="588100EA"/>
    <w:rsid w:val="59292C1B"/>
    <w:rsid w:val="5F057C39"/>
    <w:rsid w:val="60374978"/>
    <w:rsid w:val="63251794"/>
    <w:rsid w:val="64154ECC"/>
    <w:rsid w:val="64B30B27"/>
    <w:rsid w:val="664263E7"/>
    <w:rsid w:val="6F072F1B"/>
    <w:rsid w:val="6FC5338D"/>
    <w:rsid w:val="71BB4239"/>
    <w:rsid w:val="76646537"/>
    <w:rsid w:val="776026FB"/>
    <w:rsid w:val="78A50945"/>
    <w:rsid w:val="799028D8"/>
    <w:rsid w:val="79B37D27"/>
    <w:rsid w:val="7C624764"/>
    <w:rsid w:val="7DAB72E3"/>
    <w:rsid w:val="7F355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1532</Words>
  <Characters>1588</Characters>
  <Lines>12</Lines>
  <Paragraphs>3</Paragraphs>
  <TotalTime>15</TotalTime>
  <ScaleCrop>false</ScaleCrop>
  <LinksUpToDate>false</LinksUpToDate>
  <CharactersWithSpaces>1616</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2017-11-03T05:17:00Z</dcterms:created>
  <dc:creator>ZJGS-046</dc:creator>
  <cp:lastModifiedBy>金昊</cp:lastModifiedBy>
  <cp:lastPrinted>2020-11-19T05:41:00Z</cp:lastPrinted>
  <dcterms:modified xsi:type="dcterms:W3CDTF">2022-10-25T08:00:44Z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681584643C03400B95E7A2F088126214</vt:lpwstr>
  </property>
</Properties>
</file>