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44"/>
          <w:szCs w:val="44"/>
        </w:rPr>
      </w:pPr>
      <w:r>
        <w:rPr>
          <w:rFonts w:hint="eastAsia" w:ascii="Times New Roman" w:hAnsi="Times New Roman" w:eastAsia="黑体"/>
          <w:b/>
          <w:bCs/>
          <w:color w:val="000000"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-1130935</wp:posOffset>
            </wp:positionH>
            <wp:positionV relativeFrom="paragraph">
              <wp:posOffset>-888365</wp:posOffset>
            </wp:positionV>
            <wp:extent cx="2849245" cy="1887220"/>
            <wp:effectExtent l="0" t="0" r="8255" b="0"/>
            <wp:wrapNone/>
            <wp:docPr id="14" name="图片 14" descr="51daba4472026d066fba49d3c3fc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1daba4472026d066fba49d3c3fcff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44"/>
          <w:szCs w:val="44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44"/>
          <w:szCs w:val="44"/>
        </w:rPr>
      </w:pPr>
      <w:r>
        <w:rPr>
          <w:rFonts w:ascii="Times New Roman" w:hAnsi="Times New Roman" w:eastAsia="黑体"/>
          <w:b/>
          <w:bCs/>
          <w:color w:val="000000"/>
          <w:sz w:val="44"/>
          <w:szCs w:val="44"/>
        </w:rPr>
        <w:t>新版研究生综合测评系统</w:t>
      </w: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44"/>
          <w:szCs w:val="44"/>
        </w:rPr>
      </w:pPr>
      <w:r>
        <w:rPr>
          <w:rFonts w:ascii="Times New Roman" w:hAnsi="Times New Roman" w:eastAsia="黑体"/>
          <w:b/>
          <w:bCs/>
          <w:color w:val="000000"/>
          <w:sz w:val="44"/>
          <w:szCs w:val="44"/>
        </w:rPr>
        <w:t>操作说明</w:t>
      </w:r>
    </w:p>
    <w:p>
      <w:pPr>
        <w:widowControl/>
        <w:jc w:val="center"/>
        <w:rPr>
          <w:rFonts w:ascii="Times New Roman" w:hAnsi="Times New Roman" w:eastAsia="黑体"/>
          <w:b/>
          <w:bCs/>
          <w:color w:val="FF0000"/>
          <w:sz w:val="44"/>
          <w:szCs w:val="44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40"/>
          <w:szCs w:val="40"/>
        </w:rPr>
      </w:pPr>
      <w:r>
        <w:rPr>
          <w:rFonts w:ascii="Times New Roman" w:hAnsi="Times New Roman" w:eastAsia="黑体"/>
          <w:b/>
          <w:bCs/>
          <w:color w:val="000000"/>
          <w:sz w:val="40"/>
          <w:szCs w:val="40"/>
        </w:rPr>
        <w:t>(适用于学生用户)</w:t>
      </w: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</w:pPr>
      <w:r>
        <w:rPr>
          <w:rFonts w:ascii="Times New Roman" w:hAnsi="Times New Roman" w:eastAsia="黑体"/>
          <w:b/>
          <w:bCs/>
          <w:color w:val="000000"/>
          <w:sz w:val="36"/>
          <w:szCs w:val="36"/>
        </w:rPr>
        <w:t>浙江工商大学研究生工作部</w:t>
      </w:r>
    </w:p>
    <w:p>
      <w:pPr>
        <w:widowControl/>
        <w:jc w:val="center"/>
        <w:rPr>
          <w:rFonts w:ascii="Times New Roman" w:hAnsi="Times New Roman" w:eastAsia="黑体"/>
          <w:b/>
          <w:bCs/>
          <w:color w:val="000000"/>
          <w:sz w:val="36"/>
          <w:szCs w:val="36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b/>
          <w:bCs/>
          <w:color w:val="000000"/>
          <w:sz w:val="36"/>
          <w:szCs w:val="36"/>
        </w:rPr>
        <w:t>二〇二</w:t>
      </w:r>
      <w:r>
        <w:rPr>
          <w:rFonts w:hint="eastAsia" w:ascii="Times New Roman" w:hAnsi="Times New Roman" w:eastAsia="黑体"/>
          <w:b/>
          <w:bCs/>
          <w:color w:val="000000"/>
          <w:sz w:val="36"/>
          <w:szCs w:val="36"/>
        </w:rPr>
        <w:t>三</w:t>
      </w:r>
      <w:r>
        <w:rPr>
          <w:rFonts w:ascii="Times New Roman" w:hAnsi="Times New Roman" w:eastAsia="黑体"/>
          <w:b/>
          <w:bCs/>
          <w:color w:val="000000"/>
          <w:sz w:val="36"/>
          <w:szCs w:val="36"/>
        </w:rPr>
        <w:t>年九月</w:t>
      </w: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黑体"/>
          <w:b/>
          <w:bCs/>
          <w:color w:val="000000"/>
          <w:sz w:val="32"/>
          <w:szCs w:val="32"/>
        </w:rPr>
        <w:t>一、登</w:t>
      </w:r>
      <w:r>
        <w:rPr>
          <w:rFonts w:hint="eastAsia" w:ascii="Times New Roman" w:hAnsi="Times New Roman" w:eastAsia="黑体"/>
          <w:b/>
          <w:bCs/>
          <w:color w:val="000000"/>
          <w:sz w:val="32"/>
          <w:szCs w:val="32"/>
        </w:rPr>
        <w:t>录</w:t>
      </w:r>
      <w:r>
        <w:rPr>
          <w:rFonts w:ascii="Times New Roman" w:hAnsi="Times New Roman" w:eastAsia="黑体"/>
          <w:b/>
          <w:bCs/>
          <w:color w:val="000000"/>
          <w:sz w:val="32"/>
          <w:szCs w:val="32"/>
        </w:rPr>
        <w:t>系统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1.访问网址</w:t>
      </w:r>
    </w:p>
    <w:p>
      <w:pPr>
        <w:widowControl/>
        <w:ind w:firstLine="560" w:firstLineChars="200"/>
        <w:rPr>
          <w:rFonts w:ascii="Times New Roman" w:hAnsi="Times New Roman" w:eastAsia="黑体"/>
          <w:color w:val="000000"/>
          <w:sz w:val="28"/>
          <w:szCs w:val="28"/>
          <w:u w:val="single"/>
        </w:rPr>
      </w:pPr>
      <w:r>
        <w:rPr>
          <w:rFonts w:hint="eastAsia" w:ascii="Times New Roman" w:hAnsi="Times New Roman" w:eastAsia="黑体"/>
          <w:color w:val="2F5597" w:themeColor="accent1" w:themeShade="BF"/>
          <w:sz w:val="28"/>
          <w:szCs w:val="28"/>
          <w:u w:val="single"/>
        </w:rPr>
        <w:t>http://yjszhcp.zjsu.edu.cn:8102/</w:t>
      </w:r>
      <w:r>
        <w:rPr>
          <w:rFonts w:hint="eastAsia" w:ascii="Times New Roman" w:hAnsi="Times New Roman" w:eastAsia="黑体"/>
          <w:color w:val="000000"/>
          <w:sz w:val="28"/>
          <w:szCs w:val="28"/>
          <w:u w:val="single"/>
        </w:rPr>
        <w:t xml:space="preserve"> </w:t>
      </w:r>
      <w:r>
        <w:rPr>
          <w:rFonts w:hint="eastAsia" w:ascii="Times New Roman" w:hAnsi="Times New Roman" w:eastAsia="黑体"/>
          <w:color w:val="000000"/>
          <w:sz w:val="28"/>
          <w:szCs w:val="28"/>
        </w:rPr>
        <w:t>（请用内网或登录VPN后访问）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2.浏览器使用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推荐使用谷歌，火狐，360极速浏览器，360浏览器(极速模式)。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3.用户登录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登录帐号：学号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初始登录密码：身份证后六位(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含字母大写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如需修改密码，请点击头像后找到个人设置中的安全设置进行修改；如若遗忘密码，请联系学院辅导员进行重置，重置密码为初始登录密码。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4.完善基础档案信息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研究生首次</w:t>
      </w:r>
      <w:r>
        <w:rPr>
          <w:rFonts w:hint="eastAsia" w:ascii="Times New Roman" w:hAnsi="Times New Roman"/>
          <w:color w:val="000000"/>
          <w:sz w:val="28"/>
          <w:szCs w:val="28"/>
        </w:rPr>
        <w:t>登录</w:t>
      </w:r>
      <w:r>
        <w:rPr>
          <w:rFonts w:ascii="Times New Roman" w:hAnsi="Times New Roman"/>
          <w:color w:val="000000"/>
          <w:sz w:val="28"/>
          <w:szCs w:val="28"/>
        </w:rPr>
        <w:t>系统，必须要修改和完善基础档案信息。后续若部分信息发生变动，可点击菜单栏基础信息设置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→</w:t>
      </w:r>
      <w:r>
        <w:rPr>
          <w:rFonts w:ascii="Times New Roman" w:hAnsi="Times New Roman"/>
          <w:color w:val="000000"/>
          <w:sz w:val="28"/>
          <w:szCs w:val="28"/>
        </w:rPr>
        <w:t>研究生基础档案设置中进行修改。</w:t>
      </w:r>
      <w:r>
        <w:rPr>
          <w:rFonts w:ascii="Times New Roman" w:hAnsi="Times New Roman"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1191895</wp:posOffset>
            </wp:positionV>
            <wp:extent cx="5039995" cy="2854960"/>
            <wp:effectExtent l="0" t="0" r="1905" b="317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黑体"/>
          <w:b/>
          <w:bCs/>
          <w:color w:val="000000"/>
          <w:sz w:val="32"/>
          <w:szCs w:val="32"/>
        </w:rPr>
        <w:t>二、操作流程</w:t>
      </w:r>
      <w:r>
        <w:rPr>
          <w:rFonts w:hint="eastAsia" w:ascii="Times New Roman" w:hAnsi="Times New Roman" w:eastAsia="黑体"/>
          <w:b/>
          <w:bCs/>
          <w:color w:val="000000"/>
          <w:sz w:val="32"/>
          <w:szCs w:val="32"/>
        </w:rPr>
        <w:t>（学业奖学金申请）</w:t>
      </w:r>
    </w:p>
    <w:p>
      <w:pPr>
        <w:widowControl/>
        <w:ind w:firstLine="562" w:firstLineChars="20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第一步：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在</w:t>
      </w:r>
      <w:r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成果库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的各模块中录入成果</w:t>
      </w:r>
      <w:r>
        <w:rPr>
          <w:rFonts w:hint="eastAsia" w:ascii="Times New Roman" w:hAnsi="Times New Roman"/>
          <w:sz w:val="28"/>
          <w:szCs w:val="28"/>
        </w:rPr>
        <w:t>（详见第3页至第</w:t>
      </w:r>
      <w:r>
        <w:rPr>
          <w:rFonts w:ascii="Times New Roman" w:hAnsi="Times New Roman"/>
          <w:sz w:val="28"/>
          <w:szCs w:val="28"/>
        </w:rPr>
        <w:t>7</w:t>
      </w:r>
      <w:r>
        <w:rPr>
          <w:rFonts w:hint="eastAsia" w:ascii="Times New Roman" w:hAnsi="Times New Roman"/>
          <w:sz w:val="28"/>
          <w:szCs w:val="28"/>
        </w:rPr>
        <w:t>页）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ind w:firstLine="562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第二步：</w:t>
      </w:r>
      <w:r>
        <w:rPr>
          <w:rFonts w:ascii="Times New Roman" w:hAnsi="Times New Roman"/>
          <w:color w:val="000000"/>
          <w:sz w:val="28"/>
          <w:szCs w:val="28"/>
        </w:rPr>
        <w:t>点击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学业奖学金→学业奖学金申请→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新建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”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，进行当前年度申请，</w:t>
      </w:r>
      <w:r>
        <w:rPr>
          <w:rFonts w:ascii="Times New Roman" w:hAnsi="Times New Roman"/>
          <w:color w:val="000000"/>
          <w:sz w:val="28"/>
          <w:szCs w:val="28"/>
        </w:rPr>
        <w:t>按模块从成果库中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选择已录入成果</w:t>
      </w:r>
      <w:r>
        <w:rPr>
          <w:rFonts w:ascii="Times New Roman" w:hAnsi="Times New Roman"/>
          <w:color w:val="000000"/>
          <w:sz w:val="28"/>
          <w:szCs w:val="28"/>
        </w:rPr>
        <w:t>进行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添加和提交</w:t>
      </w:r>
      <w:r>
        <w:rPr>
          <w:rFonts w:ascii="Times New Roman" w:hAnsi="Times New Roman"/>
          <w:color w:val="000000"/>
          <w:sz w:val="28"/>
          <w:szCs w:val="28"/>
        </w:rPr>
        <w:t>，等待学院管理员审核</w:t>
      </w:r>
      <w:r>
        <w:rPr>
          <w:rFonts w:hint="eastAsia" w:ascii="Times New Roman" w:hAnsi="Times New Roman"/>
          <w:color w:val="000000"/>
          <w:sz w:val="28"/>
          <w:szCs w:val="28"/>
        </w:rPr>
        <w:t>（详见第8页）</w:t>
      </w:r>
      <w:r>
        <w:rPr>
          <w:rFonts w:ascii="Times New Roman" w:hAnsi="Times New Roman"/>
          <w:color w:val="000000"/>
          <w:sz w:val="28"/>
          <w:szCs w:val="28"/>
        </w:rPr>
        <w:t>；</w:t>
      </w:r>
    </w:p>
    <w:p>
      <w:pPr>
        <w:widowControl/>
        <w:ind w:firstLine="562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第三步：</w:t>
      </w:r>
      <w:r>
        <w:rPr>
          <w:rFonts w:ascii="Times New Roman" w:hAnsi="Times New Roman"/>
          <w:color w:val="000000"/>
          <w:sz w:val="28"/>
          <w:szCs w:val="28"/>
        </w:rPr>
        <w:t>点击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“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学业奖学金申请→详情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”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，查看审核结果</w:t>
      </w:r>
      <w:r>
        <w:rPr>
          <w:rFonts w:ascii="Times New Roman" w:hAnsi="Times New Roman"/>
          <w:color w:val="000000"/>
          <w:sz w:val="28"/>
          <w:szCs w:val="28"/>
        </w:rPr>
        <w:t>，在该页面中可对审核不通过的成果进行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修改、补充，直至审核结果无误</w:t>
      </w:r>
      <w:r>
        <w:rPr>
          <w:rFonts w:hint="eastAsia" w:ascii="Times New Roman" w:hAnsi="Times New Roman"/>
          <w:color w:val="000000"/>
          <w:sz w:val="28"/>
          <w:szCs w:val="28"/>
        </w:rPr>
        <w:t>（详见第9页）；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第四步：</w:t>
      </w:r>
      <w:r>
        <w:rPr>
          <w:rFonts w:ascii="Times New Roman" w:hAnsi="Times New Roman"/>
          <w:color w:val="000000"/>
          <w:sz w:val="28"/>
          <w:szCs w:val="28"/>
        </w:rPr>
        <w:t>待学院审核完毕、计算综合测评分后，点击“学业奖学金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→</w:t>
      </w:r>
      <w:r>
        <w:rPr>
          <w:rFonts w:ascii="Times New Roman" w:hAnsi="Times New Roman"/>
          <w:color w:val="000000"/>
          <w:sz w:val="28"/>
          <w:szCs w:val="28"/>
        </w:rPr>
        <w:t>综合测评分”进行查看得分和排名情况</w:t>
      </w:r>
      <w:r>
        <w:rPr>
          <w:rFonts w:hint="eastAsia" w:ascii="Times New Roman" w:hAnsi="Times New Roman"/>
          <w:color w:val="000000"/>
          <w:sz w:val="28"/>
          <w:szCs w:val="28"/>
          <w:lang w:eastAsia="zh-CN"/>
        </w:rPr>
        <w:t>；</w:t>
      </w:r>
      <w:r>
        <w:rPr>
          <w:rFonts w:hint="eastAsia" w:ascii="Times New Roman" w:hAnsi="Times New Roman"/>
          <w:color w:val="000000"/>
          <w:sz w:val="28"/>
          <w:szCs w:val="28"/>
          <w:lang w:val="en-US" w:eastAsia="zh-CN"/>
        </w:rPr>
        <w:t>点击</w:t>
      </w:r>
      <w:r>
        <w:rPr>
          <w:rFonts w:hint="eastAsia" w:ascii="Times New Roman" w:hAnsi="Times New Roman"/>
          <w:color w:val="000000"/>
          <w:sz w:val="28"/>
          <w:szCs w:val="28"/>
        </w:rPr>
        <w:t>主页“模块数据统计”的</w:t>
      </w:r>
      <w:r>
        <w:rPr>
          <w:rFonts w:hint="eastAsia" w:ascii="Times New Roman" w:hAnsi="Times New Roman"/>
          <w:b w:val="0"/>
          <w:bCs w:val="0"/>
          <w:color w:val="000000"/>
          <w:sz w:val="28"/>
          <w:szCs w:val="28"/>
          <w:u w:val="single"/>
        </w:rPr>
        <w:t>年份</w:t>
      </w:r>
      <w:r>
        <w:rPr>
          <w:rFonts w:hint="eastAsia" w:ascii="Times New Roman" w:hAnsi="Times New Roman"/>
          <w:color w:val="000000"/>
          <w:sz w:val="28"/>
          <w:szCs w:val="28"/>
        </w:rPr>
        <w:t>，即可查询当年度个人综合评价四力模型（详见第</w:t>
      </w:r>
      <w:r>
        <w:rPr>
          <w:rFonts w:ascii="Times New Roman" w:hAnsi="Times New Roman"/>
          <w:color w:val="000000"/>
          <w:sz w:val="28"/>
          <w:szCs w:val="28"/>
        </w:rPr>
        <w:t>10</w:t>
      </w:r>
      <w:r>
        <w:rPr>
          <w:rFonts w:hint="eastAsia" w:ascii="Times New Roman" w:hAnsi="Times New Roman"/>
          <w:color w:val="000000"/>
          <w:sz w:val="28"/>
          <w:szCs w:val="28"/>
        </w:rPr>
        <w:t>页）</w:t>
      </w:r>
      <w:r>
        <w:rPr>
          <w:rFonts w:ascii="Times New Roman" w:hAnsi="Times New Roman"/>
          <w:color w:val="000000"/>
          <w:sz w:val="28"/>
          <w:szCs w:val="28"/>
        </w:rPr>
        <w:t>。</w:t>
      </w:r>
    </w:p>
    <w:p>
      <w:pPr>
        <w:widowControl/>
        <w:rPr>
          <w:rFonts w:ascii="Times New Roman" w:hAnsi="Times New Roman"/>
          <w:b/>
          <w:bCs/>
          <w:color w:val="FF0000"/>
          <w:sz w:val="28"/>
          <w:szCs w:val="28"/>
        </w:rPr>
      </w:pPr>
    </w:p>
    <w:p>
      <w:pPr>
        <w:widowControl/>
        <w:rPr>
          <w:rFonts w:ascii="Times New Roman" w:hAnsi="Times New Roman"/>
          <w:b/>
          <w:bCs/>
          <w:color w:val="FF0000"/>
          <w:sz w:val="28"/>
          <w:szCs w:val="28"/>
        </w:rPr>
      </w:pPr>
    </w:p>
    <w:p>
      <w:pPr>
        <w:widowControl/>
        <w:rPr>
          <w:rFonts w:ascii="Times New Roman" w:hAnsi="Times New Roman"/>
          <w:b/>
          <w:bCs/>
          <w:color w:val="FF0000"/>
          <w:sz w:val="28"/>
          <w:szCs w:val="28"/>
        </w:rPr>
      </w:pPr>
    </w:p>
    <w:p>
      <w:pPr>
        <w:widowControl/>
        <w:rPr>
          <w:rFonts w:ascii="Times New Roman" w:hAnsi="Times New Roman"/>
          <w:b/>
          <w:bCs/>
          <w:color w:val="FF0000"/>
          <w:sz w:val="28"/>
          <w:szCs w:val="28"/>
        </w:rPr>
      </w:pPr>
    </w:p>
    <w:p>
      <w:pPr>
        <w:widowControl/>
        <w:rPr>
          <w:rFonts w:ascii="Times New Roman" w:hAnsi="Times New Roman"/>
          <w:b/>
          <w:bCs/>
          <w:color w:val="FF0000"/>
          <w:sz w:val="28"/>
          <w:szCs w:val="28"/>
        </w:rPr>
      </w:pPr>
    </w:p>
    <w:p>
      <w:pPr>
        <w:widowControl/>
        <w:rPr>
          <w:rFonts w:ascii="Times New Roman" w:hAnsi="Times New Roman"/>
          <w:b/>
          <w:bCs/>
          <w:color w:val="FF0000"/>
          <w:sz w:val="28"/>
          <w:szCs w:val="28"/>
        </w:rPr>
      </w:pPr>
    </w:p>
    <w:p>
      <w:pPr>
        <w:widowControl/>
        <w:rPr>
          <w:rFonts w:ascii="Times New Roman" w:hAnsi="Times New Roman"/>
          <w:b/>
          <w:bCs/>
          <w:color w:val="FF0000"/>
          <w:sz w:val="28"/>
          <w:szCs w:val="28"/>
        </w:rPr>
      </w:pPr>
    </w:p>
    <w:p>
      <w:pPr>
        <w:widowControl/>
        <w:rPr>
          <w:rFonts w:ascii="Times New Roman" w:hAnsi="Times New Roman"/>
          <w:b/>
          <w:bCs/>
          <w:color w:val="FF0000"/>
          <w:sz w:val="28"/>
          <w:szCs w:val="28"/>
        </w:rPr>
      </w:pPr>
    </w:p>
    <w:p>
      <w:pPr>
        <w:widowControl/>
        <w:rPr>
          <w:rFonts w:ascii="Times New Roman" w:hAnsi="Times New Roman"/>
          <w:b/>
          <w:bCs/>
          <w:color w:val="FF0000"/>
          <w:sz w:val="28"/>
          <w:szCs w:val="28"/>
        </w:rPr>
      </w:pPr>
    </w:p>
    <w:p>
      <w:pPr>
        <w:widowControl/>
        <w:rPr>
          <w:rFonts w:ascii="Times New Roman" w:hAnsi="Times New Roman"/>
          <w:b/>
          <w:bCs/>
          <w:color w:val="FF0000"/>
          <w:sz w:val="28"/>
          <w:szCs w:val="28"/>
        </w:rPr>
      </w:pPr>
    </w:p>
    <w:p>
      <w:pPr>
        <w:widowControl/>
        <w:rPr>
          <w:rFonts w:ascii="Times New Roman" w:hAnsi="Times New Roman"/>
          <w:b/>
          <w:bCs/>
          <w:color w:val="FF0000"/>
          <w:sz w:val="28"/>
          <w:szCs w:val="28"/>
        </w:rPr>
      </w:pP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eastAsia="黑体"/>
          <w:b/>
          <w:bCs/>
          <w:color w:val="000000"/>
          <w:sz w:val="32"/>
          <w:szCs w:val="32"/>
        </w:rPr>
        <w:t>三、成果库</w:t>
      </w:r>
      <w:r>
        <w:rPr>
          <w:rFonts w:hint="eastAsia" w:ascii="Times New Roman" w:hAnsi="Times New Roman" w:eastAsia="黑体"/>
          <w:b/>
          <w:bCs/>
          <w:color w:val="000000"/>
          <w:sz w:val="32"/>
          <w:szCs w:val="32"/>
        </w:rPr>
        <w:t>录入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成果库由德育模块、智育模块、素质拓展模块和创新模块组成，四大模块又进一步分为若干子模块。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1.德育模块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德育模块由公益活动、思想品德、扣分情况3个子模块组成。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(1)公益活动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点击菜单栏成果库→德育模块→公益活动→新建，按要求填写相应内容、上传证明材料后即可添加一条公益活动成果，添加后可对此条成果进行编辑和删除操作。</w:t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1720850</wp:posOffset>
            </wp:positionV>
            <wp:extent cx="3239770" cy="3340735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5269230" cy="1545590"/>
            <wp:effectExtent l="0" t="0" r="12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4397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46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(2)思想品德及扣分情况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思想品德及扣分情况子模块均由学院管理员添加，研究生仅可查看结果。由于2个模块的操作基本一致，仅以思想品德子模块举例。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点击菜单栏成果库→德育模块→思想品德，待学院管理员添加后，研究生可实时查看结果。</w:t>
      </w:r>
    </w:p>
    <w:p>
      <w:pPr>
        <w:widowControl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drawing>
          <wp:inline distT="0" distB="0" distL="0" distR="0">
            <wp:extent cx="5270500" cy="24263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b="1220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68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2.智育模块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</w:rPr>
        <w:t>智育</w:t>
      </w:r>
      <w:r>
        <w:rPr>
          <w:rFonts w:ascii="Times New Roman" w:hAnsi="Times New Roman"/>
          <w:color w:val="000000"/>
          <w:sz w:val="28"/>
          <w:szCs w:val="28"/>
        </w:rPr>
        <w:t>模块仅包含学习成绩1个子模块。此模块由学院管理员添加，研究生仅可查看结果。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点击菜单栏成果库→智育模块→学习成绩，待学院管理员添加后，研究生可实时查看结果。</w:t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5270500" cy="2070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b="2487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3.素质拓展模块</w:t>
      </w:r>
    </w:p>
    <w:p>
      <w:pPr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素质拓展模块由任职情况、创业活动、比赛获奖、荣誉表彰、国际交流、专业素质发展情况6个子模块组成。由于6个模块的操作基本一致，仅以任职情况子模块举例。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点击菜单栏成果库→素质拓展→任职情况→新建，按要求填写相应内容、上传证明材料后即可添加一条任职情况成果，添加后可对此条成果进行编辑和删除操作。</w:t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5267960" cy="13112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b="5250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20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110490</wp:posOffset>
            </wp:positionV>
            <wp:extent cx="3599815" cy="417957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1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4.创新模块</w:t>
      </w:r>
    </w:p>
    <w:p>
      <w:pPr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创新模块由论文著作、专利授权、科研项目、科研获奖、其他创新5个子模块组成。由于5个模块的操作基本一致，仅以论文著作子模块举例。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点击菜单栏成果库→创新模块→论文著作→新建，按要求填写相应内容、上传证明材料后即可添加一条论文著作成果，添加后可对此条成果进行编辑和删除操作。</w:t>
      </w:r>
    </w:p>
    <w:p>
      <w:pPr>
        <w:widowControl/>
        <w:rPr>
          <w:rFonts w:hint="eastAsia"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5270500" cy="14484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rcRect b="4758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8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/>
          <w:color w:val="000000"/>
          <w:sz w:val="28"/>
          <w:szCs w:val="28"/>
        </w:rPr>
      </w:pPr>
      <w:r>
        <w:drawing>
          <wp:inline distT="0" distB="0" distL="0" distR="0">
            <wp:extent cx="4351655" cy="4371975"/>
            <wp:effectExtent l="0" t="0" r="0" b="9525"/>
            <wp:docPr id="447331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3181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1355" t="620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4388783" cy="44092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FF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FF0000"/>
          <w:sz w:val="28"/>
          <w:szCs w:val="28"/>
        </w:rPr>
        <w:t>论文录入请注意：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</w:rPr>
        <w:t>1.中文论文须见刊，英文论文须有检索证明。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</w:rPr>
        <w:t>2.中文论文务必上传期刊全文，含封面和目录。若通讯作者是学生本人，上传的材料里须画圈标注（若不标注，默认学生本人不是通讯作者）。英文论文务必上传图书馆开具的检索证明，SSCI检索证明须含有分区情况。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</w:rPr>
        <w:t>3.SCI分区，须先选择“期刊分区表年份”，目前中科院期刊分区表最新年份为2022，以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</w:rPr>
        <w:t>升级版分区表</w:t>
      </w:r>
      <w:r>
        <w:rPr>
          <w:rFonts w:hint="eastAsia" w:ascii="Times New Roman" w:hAnsi="Times New Roman"/>
          <w:color w:val="000000"/>
          <w:sz w:val="28"/>
          <w:szCs w:val="28"/>
        </w:rPr>
        <w:t>为准。</w:t>
      </w:r>
    </w:p>
    <w:p>
      <w:pPr>
        <w:widowControl/>
        <w:ind w:firstLine="560" w:firstLineChars="200"/>
        <w:rPr>
          <w:rFonts w:ascii="Times New Roman" w:hAnsi="Times New Roman"/>
          <w:color w:val="FF0000"/>
          <w:sz w:val="28"/>
          <w:szCs w:val="28"/>
          <w:u w:val="single"/>
        </w:rPr>
      </w:pPr>
      <w:r>
        <w:rPr>
          <w:rFonts w:hint="eastAsia" w:ascii="Times New Roman" w:hAnsi="Times New Roman"/>
          <w:color w:val="FF0000"/>
          <w:sz w:val="28"/>
          <w:szCs w:val="28"/>
          <w:u w:val="single"/>
        </w:rPr>
        <w:t>4.由于学校新修订期刊级别，为解决新老交替相关问题，本系统保留老版期刊级别，并新增“新版期刊级别”字段供选择。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</w:rPr>
        <w:t>5.老版校TOP B档、特级、一级、我校核心、北大核心、SCI收录这6种类型，系统里内含期刊数据库，仅须选择ISSN和期刊名称。其他类型均须录入ISSN和期刊名称。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黑体"/>
          <w:b/>
          <w:bCs/>
          <w:color w:val="000000"/>
          <w:sz w:val="32"/>
          <w:szCs w:val="32"/>
        </w:rPr>
        <w:t>三、学业奖学金</w:t>
      </w:r>
      <w:r>
        <w:rPr>
          <w:rFonts w:hint="eastAsia" w:ascii="Times New Roman" w:hAnsi="Times New Roman" w:eastAsia="黑体"/>
          <w:b/>
          <w:bCs/>
          <w:color w:val="000000"/>
          <w:sz w:val="32"/>
          <w:szCs w:val="32"/>
        </w:rPr>
        <w:t>申请</w:t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1.新建当前年度的学业奖学金申请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（1）</w:t>
      </w:r>
      <w:r>
        <w:rPr>
          <w:rFonts w:hint="eastAsia" w:ascii="Times New Roman" w:hAnsi="Times New Roman"/>
          <w:color w:val="000000"/>
          <w:sz w:val="28"/>
          <w:szCs w:val="28"/>
        </w:rPr>
        <w:t>在规定时间内，</w:t>
      </w:r>
      <w:r>
        <w:rPr>
          <w:rFonts w:ascii="Times New Roman" w:hAnsi="Times New Roman"/>
          <w:color w:val="000000"/>
          <w:sz w:val="28"/>
          <w:szCs w:val="28"/>
        </w:rPr>
        <w:t>点击菜单栏学业奖学金→学业奖学金申请→新建，进行添加当前年度学业奖学金申请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(注意每年度仅可新建一条申请)</w:t>
      </w:r>
      <w:r>
        <w:rPr>
          <w:rFonts w:ascii="Times New Roman" w:hAnsi="Times New Roman"/>
          <w:color w:val="000000"/>
          <w:sz w:val="28"/>
          <w:szCs w:val="28"/>
        </w:rPr>
        <w:t>。</w:t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5270500" cy="1343660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（2）新建的编辑页面中包含成果库全部模块，按模块分别从成果库中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选择对应已录入成果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添加</w:t>
      </w:r>
      <w:r>
        <w:rPr>
          <w:rFonts w:ascii="Times New Roman" w:hAnsi="Times New Roman"/>
          <w:color w:val="000000"/>
          <w:sz w:val="28"/>
          <w:szCs w:val="28"/>
        </w:rPr>
        <w:t>到新建的当前年度学业奖学金申请中，其中思想品德、扣分情况、学习成绩3个子模块无须添加，全部选择完成后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点击提交(</w:t>
      </w:r>
      <w:r>
        <w:rPr>
          <w:rFonts w:hint="eastAsia" w:ascii="Times New Roman" w:hAnsi="Times New Roman"/>
          <w:b/>
          <w:bCs/>
          <w:color w:val="FF0000"/>
          <w:sz w:val="28"/>
          <w:szCs w:val="28"/>
        </w:rPr>
        <w:t>请注意：成果必须“点击提交”后，学院管理院端口才能显示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，然后等待学院管理员进行审核。</w:t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drawing>
          <wp:inline distT="0" distB="0" distL="0" distR="0">
            <wp:extent cx="5270500" cy="27679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2.查看学院审核结果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新建后点击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“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详情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”</w:t>
      </w:r>
      <w:r>
        <w:rPr>
          <w:rFonts w:ascii="Times New Roman" w:hAnsi="Times New Roman"/>
          <w:color w:val="000000"/>
          <w:sz w:val="28"/>
          <w:szCs w:val="28"/>
        </w:rPr>
        <w:t>可打开学业奖学金编辑页面查看审核结果并进行审核不通过成果的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修改、补充</w:t>
      </w:r>
      <w:r>
        <w:rPr>
          <w:rFonts w:ascii="Times New Roman" w:hAnsi="Times New Roman"/>
          <w:color w:val="000000"/>
          <w:sz w:val="28"/>
          <w:szCs w:val="28"/>
        </w:rPr>
        <w:t>操作。</w:t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5270500" cy="113728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以学业奖学金编辑页面的公益活动为例，可查看审核结果，对审核不通过成果编辑修改后</w:t>
      </w:r>
      <w:r>
        <w:rPr>
          <w:rFonts w:hint="eastAsia" w:ascii="Times New Roman" w:hAnsi="Times New Roman"/>
          <w:b/>
          <w:bCs/>
          <w:color w:val="FF0000"/>
          <w:sz w:val="28"/>
          <w:szCs w:val="28"/>
        </w:rPr>
        <w:t>须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再次提交</w:t>
      </w:r>
      <w:r>
        <w:rPr>
          <w:rFonts w:ascii="Times New Roman" w:hAnsi="Times New Roman"/>
          <w:color w:val="000000"/>
          <w:sz w:val="28"/>
          <w:szCs w:val="28"/>
        </w:rPr>
        <w:t>，也可继续添加成果</w:t>
      </w:r>
      <w:r>
        <w:rPr>
          <w:rFonts w:hint="eastAsia" w:ascii="Times New Roman" w:hAnsi="Times New Roman"/>
          <w:color w:val="000000"/>
          <w:sz w:val="28"/>
          <w:szCs w:val="28"/>
        </w:rPr>
        <w:t>。请</w:t>
      </w:r>
      <w:r>
        <w:rPr>
          <w:rFonts w:ascii="Times New Roman" w:hAnsi="Times New Roman"/>
          <w:color w:val="000000"/>
          <w:sz w:val="28"/>
          <w:szCs w:val="28"/>
        </w:rPr>
        <w:t>注意</w:t>
      </w:r>
      <w:r>
        <w:rPr>
          <w:rFonts w:hint="eastAsia" w:ascii="Times New Roman" w:hAnsi="Times New Roman"/>
          <w:color w:val="000000"/>
          <w:sz w:val="28"/>
          <w:szCs w:val="28"/>
        </w:rPr>
        <w:t>：</w:t>
      </w:r>
      <w:r>
        <w:rPr>
          <w:rFonts w:ascii="Times New Roman" w:hAnsi="Times New Roman"/>
          <w:color w:val="000000"/>
          <w:sz w:val="28"/>
          <w:szCs w:val="28"/>
        </w:rPr>
        <w:t>新建后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单独添加的成果</w:t>
      </w:r>
      <w:r>
        <w:rPr>
          <w:rFonts w:hint="eastAsia" w:ascii="Times New Roman" w:hAnsi="Times New Roman"/>
          <w:b/>
          <w:bCs/>
          <w:color w:val="FF0000"/>
          <w:sz w:val="28"/>
          <w:szCs w:val="28"/>
        </w:rPr>
        <w:t>须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要每条单独提交</w:t>
      </w:r>
      <w:r>
        <w:rPr>
          <w:rFonts w:ascii="Times New Roman" w:hAnsi="Times New Roman"/>
          <w:color w:val="000000"/>
          <w:sz w:val="28"/>
          <w:szCs w:val="28"/>
        </w:rPr>
        <w:t>。</w:t>
      </w:r>
    </w:p>
    <w:p>
      <w:pPr>
        <w:widowControl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drawing>
          <wp:inline distT="0" distB="0" distL="0" distR="0">
            <wp:extent cx="5270500" cy="2667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</w:pPr>
      <w:r>
        <w:drawing>
          <wp:inline distT="0" distB="0" distL="114300" distR="114300">
            <wp:extent cx="5262880" cy="1464945"/>
            <wp:effectExtent l="0" t="0" r="13970" b="190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</w:pP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</w:p>
    <w:p>
      <w:pPr>
        <w:widowControl/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bCs/>
          <w:color w:val="000000"/>
          <w:sz w:val="28"/>
          <w:szCs w:val="28"/>
        </w:rPr>
        <w:t>3.查看综合测评分</w:t>
      </w:r>
    </w:p>
    <w:p>
      <w:pPr>
        <w:widowControl/>
        <w:ind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当前年度学业奖学金申请中的全部成果经学院审核完成、研究生查看确认无误后，由学院计算综合测评分，研究生可找到左侧边栏中的综合测评分进行查看。</w:t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5270500" cy="113982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43" w:firstLineChars="200"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</w:p>
    <w:p>
      <w:pPr>
        <w:widowControl/>
        <w:numPr>
          <w:ilvl w:val="0"/>
          <w:numId w:val="1"/>
        </w:numPr>
        <w:ind w:firstLine="562" w:firstLineChars="200"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hint="eastAsia" w:ascii="Times New Roman" w:hAnsi="Times New Roman" w:eastAsia="黑体"/>
          <w:b/>
          <w:bCs/>
          <w:color w:val="000000"/>
          <w:sz w:val="28"/>
          <w:szCs w:val="28"/>
        </w:rPr>
        <w:t>查看综合评价四力模型</w:t>
      </w:r>
    </w:p>
    <w:p>
      <w:pPr>
        <w:widowControl/>
        <w:rPr>
          <w:rFonts w:ascii="Times New Roman" w:hAnsi="Times New Roman" w:eastAsia="黑体"/>
          <w:b/>
          <w:bCs/>
          <w:color w:val="000000"/>
          <w:sz w:val="28"/>
          <w:szCs w:val="28"/>
        </w:rPr>
      </w:pPr>
      <w:r>
        <w:rPr>
          <w:rFonts w:hint="eastAsia" w:ascii="Times New Roman" w:hAnsi="Times New Roman" w:eastAsia="黑体"/>
          <w:b/>
          <w:bCs/>
          <w:color w:val="000000"/>
          <w:sz w:val="28"/>
          <w:szCs w:val="28"/>
        </w:rPr>
        <w:t xml:space="preserve">    </w:t>
      </w:r>
      <w:r>
        <w:rPr>
          <w:rFonts w:hint="eastAsia" w:ascii="Times New Roman" w:hAnsi="Times New Roman"/>
          <w:color w:val="000000"/>
          <w:sz w:val="28"/>
          <w:szCs w:val="28"/>
        </w:rPr>
        <w:t>点击主页“模块数据统计”的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  <w:u w:val="single"/>
        </w:rPr>
        <w:t>年份</w:t>
      </w:r>
      <w:r>
        <w:rPr>
          <w:rFonts w:hint="eastAsia" w:ascii="Times New Roman" w:hAnsi="Times New Roman"/>
          <w:color w:val="000000"/>
          <w:sz w:val="28"/>
          <w:szCs w:val="28"/>
        </w:rPr>
        <w:t>，即可查询当年度个人综合评价四力模型。</w:t>
      </w:r>
    </w:p>
    <w:p>
      <w:pPr>
        <w:widowControl/>
        <w:rPr>
          <w:rFonts w:ascii="Times New Roman" w:hAnsi="Times New Roman" w:eastAsia="黑体"/>
          <w:b/>
          <w:bCs/>
          <w:color w:val="000000"/>
          <w:sz w:val="32"/>
          <w:szCs w:val="32"/>
        </w:rPr>
      </w:pPr>
      <w:r>
        <w:drawing>
          <wp:inline distT="0" distB="0" distL="114300" distR="114300">
            <wp:extent cx="4552315" cy="2543175"/>
            <wp:effectExtent l="0" t="0" r="635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Times New Roman" w:hAnsi="Times New Roman"/>
          <w:color w:val="000000"/>
          <w:sz w:val="28"/>
          <w:szCs w:val="28"/>
        </w:rPr>
      </w:pPr>
      <w:r>
        <w:drawing>
          <wp:inline distT="0" distB="0" distL="114300" distR="114300">
            <wp:extent cx="4728210" cy="1598930"/>
            <wp:effectExtent l="0" t="0" r="8890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1C1D465-B2F8-49D0-9D71-4801813AC56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925B1C89-7DBB-4A6B-B334-9CD0544791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CDEC15"/>
    <w:multiLevelType w:val="singleLevel"/>
    <w:tmpl w:val="BBCDEC15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I1NjFjNDk1OGI0MGNlMzRmNzViNThmMWQ0YTkzNzcifQ=="/>
  </w:docVars>
  <w:rsids>
    <w:rsidRoot w:val="001A3E79"/>
    <w:rsid w:val="000C316B"/>
    <w:rsid w:val="0017152C"/>
    <w:rsid w:val="001A3E79"/>
    <w:rsid w:val="00252E1C"/>
    <w:rsid w:val="00260B79"/>
    <w:rsid w:val="00263B25"/>
    <w:rsid w:val="002658D4"/>
    <w:rsid w:val="0027435B"/>
    <w:rsid w:val="002D24D5"/>
    <w:rsid w:val="00317F82"/>
    <w:rsid w:val="003A29CA"/>
    <w:rsid w:val="003E5509"/>
    <w:rsid w:val="00422F25"/>
    <w:rsid w:val="004C19D2"/>
    <w:rsid w:val="004C7D07"/>
    <w:rsid w:val="004F3F15"/>
    <w:rsid w:val="00552369"/>
    <w:rsid w:val="005A7FE3"/>
    <w:rsid w:val="00646159"/>
    <w:rsid w:val="006726D5"/>
    <w:rsid w:val="006727E1"/>
    <w:rsid w:val="006E57D5"/>
    <w:rsid w:val="00754BBF"/>
    <w:rsid w:val="007905E4"/>
    <w:rsid w:val="0079325A"/>
    <w:rsid w:val="007F3C57"/>
    <w:rsid w:val="0082439A"/>
    <w:rsid w:val="00847C00"/>
    <w:rsid w:val="00860451"/>
    <w:rsid w:val="00894A36"/>
    <w:rsid w:val="008E48DE"/>
    <w:rsid w:val="009B4884"/>
    <w:rsid w:val="00A10A9D"/>
    <w:rsid w:val="00A312A5"/>
    <w:rsid w:val="00AC6DE1"/>
    <w:rsid w:val="00AF21D8"/>
    <w:rsid w:val="00B645BD"/>
    <w:rsid w:val="00BA54AA"/>
    <w:rsid w:val="00BC5C04"/>
    <w:rsid w:val="00BD484F"/>
    <w:rsid w:val="00C35006"/>
    <w:rsid w:val="00C51628"/>
    <w:rsid w:val="00D5774C"/>
    <w:rsid w:val="00E30F3A"/>
    <w:rsid w:val="00E80F6D"/>
    <w:rsid w:val="00F37D69"/>
    <w:rsid w:val="00F43DBB"/>
    <w:rsid w:val="00F441CA"/>
    <w:rsid w:val="00FB124D"/>
    <w:rsid w:val="00FD7002"/>
    <w:rsid w:val="05B07EC5"/>
    <w:rsid w:val="06810709"/>
    <w:rsid w:val="0BD83A09"/>
    <w:rsid w:val="142236ED"/>
    <w:rsid w:val="15363622"/>
    <w:rsid w:val="229C12D4"/>
    <w:rsid w:val="31696EC1"/>
    <w:rsid w:val="417D5534"/>
    <w:rsid w:val="41B44E3C"/>
    <w:rsid w:val="41DE1C49"/>
    <w:rsid w:val="469B77B9"/>
    <w:rsid w:val="50553608"/>
    <w:rsid w:val="522730BD"/>
    <w:rsid w:val="52985704"/>
    <w:rsid w:val="530E338C"/>
    <w:rsid w:val="58E301CD"/>
    <w:rsid w:val="59E63F1E"/>
    <w:rsid w:val="5BB719D4"/>
    <w:rsid w:val="5E46126B"/>
    <w:rsid w:val="6293185C"/>
    <w:rsid w:val="64833AD6"/>
    <w:rsid w:val="65235769"/>
    <w:rsid w:val="66C60C77"/>
    <w:rsid w:val="6C7761CF"/>
    <w:rsid w:val="6DE40336"/>
    <w:rsid w:val="70A60382"/>
    <w:rsid w:val="71697A56"/>
    <w:rsid w:val="75971C00"/>
    <w:rsid w:val="79FBF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未处理的提及1"/>
    <w:basedOn w:val="5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A3A6FD-7CF5-2C4A-8C5C-7C58F5DCA9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1956</Words>
  <Characters>2033</Characters>
  <Lines>15</Lines>
  <Paragraphs>4</Paragraphs>
  <TotalTime>1</TotalTime>
  <ScaleCrop>false</ScaleCrop>
  <LinksUpToDate>false</LinksUpToDate>
  <CharactersWithSpaces>2039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2023-09-21T05:33:00Z</dcterms:created>
  <dc:creator>祁 天星</dc:creator>
  <cp:lastModifiedBy>徐心楚</cp:lastModifiedBy>
  <cp:lastPrinted>2021-07-09T08:33:00Z</cp:lastPrinted>
  <dcterms:modified xsi:type="dcterms:W3CDTF">2023-09-27T14:40:39Z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4C48181BB836460C8FA7CEEF1624466E_13</vt:lpwstr>
  </property>
</Properties>
</file>