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800" w:lineRule="exact"/>
        <w:jc w:val="center"/>
        <w:rPr>
          <w:rFonts w:ascii="黑体" w:hAnsi="黑体" w:eastAsia="黑体"/>
          <w:b/>
          <w:color w:val="FF0000"/>
          <w:sz w:val="72"/>
          <w:szCs w:val="72"/>
        </w:rPr>
      </w:pPr>
      <w:r>
        <w:rPr>
          <w:rFonts w:hint="eastAsia" w:ascii="黑体" w:hAnsi="黑体" w:eastAsia="黑体"/>
          <w:b/>
          <w:color w:val="FF0000"/>
          <w:sz w:val="72"/>
          <w:szCs w:val="72"/>
        </w:rPr>
        <w:t>浙江工商大学</w:t>
      </w:r>
    </w:p>
    <w:p>
      <w:pPr>
        <w:spacing w:beforeLines="50" w:line="800" w:lineRule="exact"/>
        <w:jc w:val="center"/>
        <w:rPr>
          <w:rFonts w:ascii="黑体" w:hAnsi="黑体" w:eastAsia="黑体"/>
          <w:b/>
          <w:color w:val="FF0000"/>
          <w:sz w:val="52"/>
          <w:szCs w:val="52"/>
        </w:rPr>
      </w:pPr>
      <w:r>
        <w:rPr>
          <w:rFonts w:hint="eastAsia" w:ascii="黑体" w:hAnsi="黑体" w:eastAsia="黑体"/>
          <w:b/>
          <w:color w:val="FF0000"/>
          <w:sz w:val="52"/>
          <w:szCs w:val="52"/>
        </w:rPr>
        <w:t>食品与生物工程学院文件</w:t>
      </w:r>
    </w:p>
    <w:p>
      <w:pPr>
        <w:spacing w:line="800" w:lineRule="exact"/>
        <w:jc w:val="center"/>
        <w:rPr>
          <w:rFonts w:ascii="宋体" w:hAnsi="宋体"/>
          <w:b/>
          <w:color w:val="FF0000"/>
          <w:sz w:val="72"/>
          <w:szCs w:val="72"/>
        </w:rPr>
      </w:pPr>
    </w:p>
    <w:p>
      <w:pPr>
        <w:spacing w:line="580" w:lineRule="exact"/>
        <w:jc w:val="center"/>
        <w:rPr>
          <w:rFonts w:ascii="仿宋_GB2312" w:eastAsia="仿宋_GB2312"/>
          <w:color w:val="000000"/>
          <w:sz w:val="32"/>
          <w:szCs w:val="32"/>
        </w:rPr>
      </w:pPr>
      <w:r>
        <w:rPr>
          <w:rFonts w:hint="eastAsia" w:ascii="仿宋" w:hAnsi="仿宋" w:eastAsia="仿宋"/>
          <w:sz w:val="32"/>
          <w:szCs w:val="32"/>
        </w:rPr>
        <w:t>浙商大食〔</w:t>
      </w:r>
      <w:r>
        <w:rPr>
          <w:rFonts w:hint="eastAsia" w:ascii="仿宋" w:hAnsi="仿宋" w:eastAsia="仿宋"/>
          <w:color w:val="000000" w:themeColor="text1"/>
          <w:sz w:val="32"/>
          <w:szCs w:val="32"/>
          <w14:textFill>
            <w14:solidFill>
              <w14:schemeClr w14:val="tx1"/>
            </w14:solidFill>
          </w14:textFill>
        </w:rPr>
        <w:t>20</w:t>
      </w: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号</w:t>
      </w:r>
      <w:r>
        <w:rPr>
          <w:rFonts w:ascii="仿宋" w:hAnsi="仿宋" w:eastAsia="仿宋"/>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45720</wp:posOffset>
                </wp:positionV>
                <wp:extent cx="5734050" cy="0"/>
                <wp:effectExtent l="0" t="13970" r="0" b="24130"/>
                <wp:wrapSquare wrapText="bothSides"/>
                <wp:docPr id="1" name="直线 2"/>
                <wp:cNvGraphicFramePr/>
                <a:graphic xmlns:a="http://schemas.openxmlformats.org/drawingml/2006/main">
                  <a:graphicData uri="http://schemas.microsoft.com/office/word/2010/wordprocessingShape">
                    <wps:wsp>
                      <wps:cNvCnPr/>
                      <wps:spPr>
                        <a:xfrm>
                          <a:off x="0" y="0"/>
                          <a:ext cx="573405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0pt;margin-top:3.6pt;height:0pt;width:451.5pt;mso-wrap-distance-bottom:0pt;mso-wrap-distance-left:9pt;mso-wrap-distance-right:9pt;mso-wrap-distance-top:0pt;z-index:251659264;mso-width-relative:page;mso-height-relative:page;" filled="f" stroked="t" coordsize="21600,21600" o:gfxdata="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ah&#10;S8TSAAAABAEAAA8AAAAAAAAAAQAgAAAAIgAAAGRycy9kb3ducmV2LnhtbFBLAQIUABQAAAAIAIdO&#10;4kD9ng1e8AEAAOoDAAAOAAAAAAAAAAEAIAAAACEBAABkcnMvZTJvRG9jLnhtbFBLBQYAAAAABgAG&#10;AFkBAACDBQAAAAA=&#10;">
                <v:fill on="f" focussize="0,0"/>
                <v:stroke weight="2.25pt" color="#FF0000" joinstyle="round"/>
                <v:imagedata o:title=""/>
                <o:lock v:ext="edit" aspectratio="f"/>
                <w10:wrap type="square"/>
              </v:line>
            </w:pict>
          </mc:Fallback>
        </mc:AlternateContent>
      </w:r>
    </w:p>
    <w:p>
      <w:pPr>
        <w:spacing w:line="560" w:lineRule="exact"/>
        <w:jc w:val="center"/>
        <w:rPr>
          <w:rFonts w:ascii="方正小标宋简体" w:eastAsia="方正小标宋简体"/>
          <w:sz w:val="44"/>
          <w:szCs w:val="44"/>
        </w:rPr>
      </w:pPr>
    </w:p>
    <w:p>
      <w:pPr>
        <w:spacing w:line="600" w:lineRule="exact"/>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浙江工商大学食品与生物工程学院</w:t>
      </w:r>
    </w:p>
    <w:p>
      <w:pPr>
        <w:spacing w:line="600" w:lineRule="exact"/>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研究生综合测评办法</w:t>
      </w:r>
    </w:p>
    <w:p>
      <w:pPr>
        <w:spacing w:line="600" w:lineRule="exact"/>
        <w:jc w:val="center"/>
        <w:rPr>
          <w:rFonts w:hint="eastAsia" w:ascii="Times New Roman" w:hAnsi="Times New Roman" w:eastAsia="方正小标宋简体" w:cs="Times New Roman"/>
          <w:sz w:val="44"/>
          <w:szCs w:val="44"/>
          <w:lang w:val="en-US" w:eastAsia="zh-CN"/>
        </w:rPr>
      </w:pPr>
    </w:p>
    <w:p>
      <w:pPr>
        <w:pStyle w:val="6"/>
        <w:widowControl w:val="0"/>
        <w:tabs>
          <w:tab w:val="left" w:pos="3975"/>
          <w:tab w:val="center" w:pos="4819"/>
        </w:tabs>
        <w:spacing w:before="0" w:beforeAutospacing="0" w:after="0" w:afterAutospacing="0" w:line="360" w:lineRule="auto"/>
        <w:jc w:val="center"/>
        <w:rPr>
          <w:rFonts w:ascii="Times New Roman" w:hAnsi="Times New Roman" w:eastAsia="黑体"/>
          <w:sz w:val="32"/>
          <w:szCs w:val="32"/>
        </w:rPr>
      </w:pPr>
      <w:r>
        <w:rPr>
          <w:rFonts w:ascii="Times New Roman" w:hAnsi="Times New Roman" w:eastAsia="黑体"/>
          <w:sz w:val="32"/>
          <w:szCs w:val="32"/>
        </w:rPr>
        <w:t>第一章 总 则</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仿宋_GB2312"/>
          <w:sz w:val="32"/>
          <w:szCs w:val="32"/>
        </w:rPr>
      </w:pPr>
      <w:r>
        <w:rPr>
          <w:rFonts w:ascii="Times New Roman" w:hAnsi="Times New Roman" w:eastAsia="仿宋_GB2312"/>
          <w:b/>
          <w:sz w:val="32"/>
          <w:szCs w:val="32"/>
        </w:rPr>
        <w:t xml:space="preserve">第一条 </w:t>
      </w:r>
      <w:r>
        <w:rPr>
          <w:rFonts w:ascii="Times New Roman" w:hAnsi="Times New Roman" w:eastAsia="仿宋_GB2312"/>
          <w:sz w:val="32"/>
          <w:szCs w:val="32"/>
        </w:rPr>
        <w:t>为提高研究生培养质量，进一步完善研究生综合测评制度，推进研究生</w:t>
      </w:r>
      <w:r>
        <w:rPr>
          <w:rFonts w:hint="eastAsia" w:ascii="Times New Roman" w:hAnsi="Times New Roman" w:eastAsia="仿宋_GB2312"/>
          <w:sz w:val="32"/>
          <w:szCs w:val="32"/>
          <w:lang w:val="en-US" w:eastAsia="zh-CN"/>
        </w:rPr>
        <w:t>综合</w:t>
      </w:r>
      <w:r>
        <w:rPr>
          <w:rFonts w:ascii="Times New Roman" w:hAnsi="Times New Roman" w:eastAsia="仿宋_GB2312"/>
          <w:sz w:val="32"/>
          <w:szCs w:val="32"/>
        </w:rPr>
        <w:t>测评工作科学化、规范化，根据《浙江工商大学研究生综合测评实施办法》（浙商大〔2018〕189号）有关规定，结合我院实际情况，制定本办法。</w:t>
      </w:r>
    </w:p>
    <w:p>
      <w:pPr>
        <w:pStyle w:val="6"/>
        <w:widowControl w:val="0"/>
        <w:spacing w:before="0" w:beforeAutospacing="0" w:after="0" w:afterAutospacing="0" w:line="360" w:lineRule="auto"/>
        <w:ind w:firstLine="643" w:firstLineChars="200"/>
        <w:jc w:val="both"/>
        <w:rPr>
          <w:rFonts w:ascii="Times New Roman" w:hAnsi="Times New Roman" w:eastAsia="仿宋_GB2312"/>
          <w:sz w:val="32"/>
          <w:szCs w:val="32"/>
        </w:rPr>
      </w:pPr>
      <w:r>
        <w:rPr>
          <w:rFonts w:ascii="Times New Roman" w:hAnsi="Times New Roman" w:eastAsia="仿宋_GB2312"/>
          <w:b/>
          <w:sz w:val="32"/>
          <w:szCs w:val="32"/>
        </w:rPr>
        <w:t>第二条</w:t>
      </w:r>
      <w:r>
        <w:rPr>
          <w:rFonts w:ascii="Times New Roman" w:hAnsi="Times New Roman" w:eastAsia="仿宋_GB2312"/>
          <w:sz w:val="32"/>
          <w:szCs w:val="32"/>
        </w:rPr>
        <w:t xml:space="preserve"> 研究生综合测评是对研究生各方面素质的综合评价，测评结果将作为研究生申报和评定国家奖学金、学业奖学金及其他重要荣誉的主要依据。在规定期限内不按要求参评的研究生，其测评结果以0分计算，不得申报奖学金和荣誉称号。研究生须按时如实全面在研究生综合评奖信息系统提交相关材料。</w:t>
      </w:r>
    </w:p>
    <w:p>
      <w:pPr>
        <w:pStyle w:val="6"/>
        <w:widowControl w:val="0"/>
        <w:spacing w:before="0" w:beforeAutospacing="0" w:after="0" w:afterAutospacing="0" w:line="360" w:lineRule="auto"/>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第三条</w:t>
      </w:r>
      <w:r>
        <w:rPr>
          <w:rFonts w:ascii="Times New Roman" w:hAnsi="Times New Roman" w:eastAsia="仿宋_GB2312"/>
          <w:sz w:val="32"/>
          <w:szCs w:val="32"/>
        </w:rPr>
        <w:t xml:space="preserve"> 本办法适用于我院具有中华人民共和国国籍、纳入全国研究生招生计划、全日制、非定向就业的普通在校博士和硕士研究生。</w:t>
      </w:r>
    </w:p>
    <w:p>
      <w:pPr>
        <w:pStyle w:val="6"/>
        <w:widowControl w:val="0"/>
        <w:spacing w:before="0" w:beforeAutospacing="0" w:after="0" w:afterAutospacing="0" w:line="360" w:lineRule="auto"/>
        <w:ind w:firstLine="4408" w:firstLineChars="1372"/>
        <w:jc w:val="both"/>
        <w:rPr>
          <w:rFonts w:ascii="Times New Roman" w:hAnsi="Times New Roman" w:eastAsia="仿宋_GB2312"/>
          <w:b/>
          <w:sz w:val="32"/>
          <w:szCs w:val="32"/>
        </w:rPr>
      </w:pPr>
    </w:p>
    <w:p>
      <w:pPr>
        <w:pStyle w:val="6"/>
        <w:widowControl w:val="0"/>
        <w:spacing w:before="0" w:beforeAutospacing="0" w:after="0" w:afterAutospacing="0" w:line="360" w:lineRule="auto"/>
        <w:jc w:val="center"/>
        <w:rPr>
          <w:rFonts w:ascii="Times New Roman" w:hAnsi="Times New Roman" w:eastAsia="黑体"/>
          <w:bCs/>
          <w:sz w:val="32"/>
          <w:szCs w:val="32"/>
        </w:rPr>
      </w:pPr>
      <w:r>
        <w:rPr>
          <w:rFonts w:ascii="Times New Roman" w:hAnsi="Times New Roman" w:eastAsia="黑体"/>
          <w:bCs/>
          <w:sz w:val="32"/>
          <w:szCs w:val="32"/>
        </w:rPr>
        <w:t>第二章 组织实施</w:t>
      </w:r>
    </w:p>
    <w:p>
      <w:pPr>
        <w:pStyle w:val="6"/>
        <w:widowControl w:val="0"/>
        <w:spacing w:before="0" w:beforeAutospacing="0" w:after="0" w:afterAutospacing="0" w:line="360" w:lineRule="auto"/>
        <w:ind w:firstLine="643" w:firstLineChars="200"/>
        <w:jc w:val="both"/>
        <w:rPr>
          <w:rFonts w:ascii="Times New Roman" w:hAnsi="Times New Roman" w:eastAsia="仿宋_GB2312"/>
          <w:sz w:val="32"/>
          <w:szCs w:val="32"/>
        </w:rPr>
      </w:pPr>
      <w:r>
        <w:rPr>
          <w:rFonts w:ascii="Times New Roman" w:hAnsi="Times New Roman" w:eastAsia="仿宋_GB2312"/>
          <w:b/>
          <w:sz w:val="32"/>
          <w:szCs w:val="32"/>
        </w:rPr>
        <w:t>第四条</w:t>
      </w:r>
      <w:r>
        <w:rPr>
          <w:rFonts w:ascii="Times New Roman" w:hAnsi="Times New Roman" w:eastAsia="仿宋_GB2312"/>
          <w:sz w:val="32"/>
          <w:szCs w:val="32"/>
        </w:rPr>
        <w:t xml:space="preserve"> 学院成立由学院党委书记或分管学生工作的副书记、院长或分管研究生教学工作的副院长、研究生辅导员、研究生教学秘书、导师代表、研究生代表等人组成的研究生综合测评领导小组（以下简称“领导小组”）。</w:t>
      </w:r>
    </w:p>
    <w:p>
      <w:pPr>
        <w:pStyle w:val="6"/>
        <w:widowControl w:val="0"/>
        <w:spacing w:before="0" w:beforeAutospacing="0" w:after="0" w:afterAutospacing="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班级成立由班级主要学生干部、党团支部书记及研究生代表组成的研究生综合测评工作小组暨学业奖学金评审工作小组（以下简称“工作小组”）。工作小组负责组织班级开展个人总结撰写、参评材料提交、自我评价以及班级（或年级）初审等。</w:t>
      </w:r>
    </w:p>
    <w:p>
      <w:pPr>
        <w:pStyle w:val="6"/>
        <w:widowControl w:val="0"/>
        <w:spacing w:before="0" w:beforeAutospacing="0" w:after="0" w:afterAutospacing="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每年度奖学金评审工作启动前，公布年度工作小组成员名单。</w:t>
      </w:r>
    </w:p>
    <w:p>
      <w:pPr>
        <w:pStyle w:val="6"/>
        <w:widowControl w:val="0"/>
        <w:spacing w:before="0" w:beforeAutospacing="0" w:after="0" w:afterAutospacing="0" w:line="360" w:lineRule="auto"/>
        <w:ind w:firstLine="643" w:firstLineChars="200"/>
        <w:jc w:val="both"/>
        <w:rPr>
          <w:rFonts w:ascii="Times New Roman" w:hAnsi="Times New Roman" w:eastAsia="仿宋_GB2312"/>
          <w:color w:val="auto"/>
          <w:sz w:val="32"/>
          <w:szCs w:val="32"/>
        </w:rPr>
      </w:pPr>
      <w:r>
        <w:rPr>
          <w:rFonts w:ascii="Times New Roman" w:hAnsi="Times New Roman" w:eastAsia="仿宋_GB2312"/>
          <w:b/>
          <w:sz w:val="32"/>
          <w:szCs w:val="32"/>
        </w:rPr>
        <w:t>第五条</w:t>
      </w:r>
      <w:r>
        <w:rPr>
          <w:rFonts w:ascii="Times New Roman" w:hAnsi="Times New Roman" w:eastAsia="仿宋_GB2312"/>
          <w:sz w:val="32"/>
          <w:szCs w:val="32"/>
        </w:rPr>
        <w:t xml:space="preserve"> 研究生综合测评每学年进行一次，测评工作在每学年第一期开学一个月内完成。当年入学的新生不参加该学年的综合测评，二、三年级研究生的综合测评按上一学年的表现进行评定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研究生</w:t>
      </w:r>
      <w:r>
        <w:rPr>
          <w:rFonts w:hint="eastAsia" w:ascii="Times New Roman" w:hAnsi="Times New Roman" w:eastAsia="仿宋_GB2312"/>
          <w:color w:val="auto"/>
          <w:sz w:val="32"/>
          <w:szCs w:val="32"/>
          <w:lang w:val="en-US" w:eastAsia="zh-CN"/>
        </w:rPr>
        <w:t>未通过中期测评的，不能申请一等奖学金</w:t>
      </w:r>
      <w:r>
        <w:rPr>
          <w:rFonts w:ascii="Times New Roman" w:hAnsi="Times New Roman" w:eastAsia="仿宋_GB2312"/>
          <w:color w:val="auto"/>
          <w:sz w:val="32"/>
          <w:szCs w:val="32"/>
        </w:rPr>
        <w:t>。</w:t>
      </w:r>
    </w:p>
    <w:p>
      <w:pPr>
        <w:pStyle w:val="6"/>
        <w:widowControl w:val="0"/>
        <w:spacing w:before="0" w:beforeAutospacing="0" w:after="0" w:afterAutospacing="0" w:line="360" w:lineRule="auto"/>
        <w:ind w:firstLine="643" w:firstLineChars="200"/>
        <w:jc w:val="both"/>
        <w:rPr>
          <w:rFonts w:ascii="Times New Roman" w:hAnsi="Times New Roman" w:eastAsia="仿宋_GB2312"/>
          <w:sz w:val="32"/>
          <w:szCs w:val="32"/>
        </w:rPr>
      </w:pPr>
      <w:r>
        <w:rPr>
          <w:rFonts w:ascii="Times New Roman" w:hAnsi="Times New Roman" w:eastAsia="仿宋_GB2312"/>
          <w:b/>
          <w:sz w:val="32"/>
          <w:szCs w:val="32"/>
        </w:rPr>
        <w:t>第六条</w:t>
      </w:r>
      <w:r>
        <w:rPr>
          <w:rFonts w:ascii="Times New Roman" w:hAnsi="Times New Roman" w:eastAsia="仿宋_GB2312"/>
          <w:sz w:val="32"/>
          <w:szCs w:val="32"/>
        </w:rPr>
        <w:t xml:space="preserve"> 研究生综合测评工作应坚持公开、公平、公正的原则，杜绝弄虚作假。</w:t>
      </w:r>
    </w:p>
    <w:p>
      <w:pPr>
        <w:pStyle w:val="6"/>
        <w:widowControl w:val="0"/>
        <w:spacing w:before="0" w:beforeAutospacing="0" w:after="0" w:afterAutospacing="0" w:line="360" w:lineRule="auto"/>
        <w:ind w:firstLine="643" w:firstLineChars="200"/>
        <w:jc w:val="both"/>
        <w:rPr>
          <w:rFonts w:ascii="Times New Roman" w:hAnsi="Times New Roman" w:eastAsia="仿宋_GB2312"/>
          <w:sz w:val="32"/>
          <w:szCs w:val="32"/>
        </w:rPr>
      </w:pPr>
      <w:r>
        <w:rPr>
          <w:rFonts w:ascii="Times New Roman" w:hAnsi="Times New Roman" w:eastAsia="仿宋_GB2312"/>
          <w:b/>
          <w:sz w:val="32"/>
          <w:szCs w:val="32"/>
        </w:rPr>
        <w:t>第七条</w:t>
      </w:r>
      <w:r>
        <w:rPr>
          <w:rFonts w:ascii="Times New Roman" w:hAnsi="Times New Roman" w:eastAsia="仿宋_GB2312"/>
          <w:sz w:val="32"/>
          <w:szCs w:val="32"/>
        </w:rPr>
        <w:t xml:space="preserve"> 研究生综合测评采取研究生自评、工作小组班级（或年级）初审、领导小组审定相结合的方式进行。</w:t>
      </w:r>
    </w:p>
    <w:p>
      <w:pPr>
        <w:pStyle w:val="6"/>
        <w:widowControl w:val="0"/>
        <w:spacing w:before="0" w:beforeAutospacing="0" w:after="0" w:afterAutospacing="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（一）学生自评。每个研究生须按要求填写表格并提供相应的证明材料（暨将相关证明材料提交至研究生综合</w:t>
      </w:r>
      <w:r>
        <w:rPr>
          <w:rFonts w:hint="eastAsia" w:ascii="Times New Roman" w:hAnsi="Times New Roman" w:eastAsia="仿宋_GB2312"/>
          <w:sz w:val="32"/>
          <w:szCs w:val="32"/>
        </w:rPr>
        <w:t>测评</w:t>
      </w:r>
      <w:r>
        <w:rPr>
          <w:rFonts w:ascii="Times New Roman" w:hAnsi="Times New Roman" w:eastAsia="仿宋_GB2312"/>
          <w:sz w:val="32"/>
          <w:szCs w:val="32"/>
        </w:rPr>
        <w:t>系统），实事求是地进行自我评价，并交工作小组初审。</w:t>
      </w:r>
    </w:p>
    <w:p>
      <w:pPr>
        <w:pStyle w:val="6"/>
        <w:widowControl w:val="0"/>
        <w:spacing w:before="0" w:beforeAutospacing="0" w:after="0" w:afterAutospacing="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（二）班级初审。各班工作小组负责审议、校准各项分数，修正出现的错漏。允许研究生在规定期限内提出质疑，若确有错漏，应予更正，初审结果应向研究生公布。 </w:t>
      </w:r>
    </w:p>
    <w:p>
      <w:pPr>
        <w:pStyle w:val="6"/>
        <w:widowControl w:val="0"/>
        <w:spacing w:before="0" w:beforeAutospacing="0" w:after="0" w:afterAutospacing="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（三）学院研究生辅导员在对班级初审结果进行审核后，报领导小组进行审定，领导小组在审定完毕后应及时予以公示。 </w:t>
      </w:r>
    </w:p>
    <w:p>
      <w:pPr>
        <w:pStyle w:val="6"/>
        <w:widowControl w:val="0"/>
        <w:spacing w:before="0" w:beforeAutospacing="0" w:after="0" w:afterAutospacing="0" w:line="360" w:lineRule="auto"/>
        <w:jc w:val="both"/>
        <w:rPr>
          <w:rFonts w:ascii="Times New Roman" w:hAnsi="Times New Roman" w:eastAsia="仿宋_GB2312"/>
          <w:b/>
          <w:sz w:val="32"/>
          <w:szCs w:val="32"/>
        </w:rPr>
      </w:pPr>
    </w:p>
    <w:p>
      <w:pPr>
        <w:pStyle w:val="6"/>
        <w:widowControl w:val="0"/>
        <w:spacing w:before="0" w:beforeAutospacing="0" w:after="0" w:afterAutospacing="0" w:line="360" w:lineRule="auto"/>
        <w:jc w:val="center"/>
        <w:rPr>
          <w:rFonts w:ascii="Times New Roman" w:hAnsi="Times New Roman" w:eastAsia="黑体"/>
          <w:sz w:val="32"/>
          <w:szCs w:val="32"/>
        </w:rPr>
      </w:pPr>
      <w:r>
        <w:rPr>
          <w:rFonts w:ascii="Times New Roman" w:hAnsi="Times New Roman" w:eastAsia="黑体"/>
          <w:sz w:val="32"/>
          <w:szCs w:val="32"/>
        </w:rPr>
        <w:t>第三章 测评体系</w:t>
      </w:r>
    </w:p>
    <w:p>
      <w:pPr>
        <w:pStyle w:val="6"/>
        <w:widowControl w:val="0"/>
        <w:spacing w:before="0" w:beforeAutospacing="0" w:after="0" w:afterAutospacing="0" w:line="360" w:lineRule="auto"/>
        <w:jc w:val="both"/>
        <w:rPr>
          <w:rFonts w:ascii="Times New Roman" w:hAnsi="Times New Roman" w:eastAsia="仿宋_GB2312"/>
          <w:b/>
          <w:sz w:val="32"/>
          <w:szCs w:val="32"/>
        </w:rPr>
      </w:pPr>
      <w:r>
        <w:rPr>
          <w:rFonts w:ascii="Times New Roman" w:hAnsi="Times New Roman" w:eastAsia="仿宋_GB2312"/>
          <w:b/>
          <w:sz w:val="32"/>
          <w:szCs w:val="32"/>
        </w:rPr>
        <w:t xml:space="preserve">    第八条</w:t>
      </w:r>
      <w:r>
        <w:rPr>
          <w:rFonts w:ascii="Times New Roman" w:hAnsi="Times New Roman" w:eastAsia="仿宋_GB2312"/>
          <w:sz w:val="32"/>
          <w:szCs w:val="32"/>
        </w:rPr>
        <w:t xml:space="preserve"> 综合测评指标体系由德育模块、智育模块、素质拓展模块和创新模块组成，各模块根据研究生培养类型的不同被赋予不同权重。</w:t>
      </w:r>
    </w:p>
    <w:p>
      <w:pPr>
        <w:spacing w:line="360" w:lineRule="auto"/>
        <w:jc w:val="center"/>
        <w:rPr>
          <w:rFonts w:eastAsia="仿宋_GB2312"/>
          <w:b/>
          <w:sz w:val="28"/>
          <w:szCs w:val="32"/>
        </w:rPr>
      </w:pPr>
      <w:r>
        <w:rPr>
          <w:rFonts w:eastAsia="仿宋_GB2312"/>
          <w:b/>
          <w:sz w:val="28"/>
          <w:szCs w:val="32"/>
        </w:rPr>
        <w:t>各类考核项目权重（Wi）表     计量单位：%</w:t>
      </w:r>
    </w:p>
    <w:tbl>
      <w:tblPr>
        <w:tblStyle w:val="7"/>
        <w:tblW w:w="8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644"/>
        <w:gridCol w:w="1645"/>
        <w:gridCol w:w="1814"/>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668" w:type="dxa"/>
            <w:tcBorders>
              <w:tl2br w:val="single" w:color="auto" w:sz="4" w:space="0"/>
            </w:tcBorders>
            <w:noWrap w:val="0"/>
            <w:vAlign w:val="center"/>
          </w:tcPr>
          <w:p>
            <w:pPr>
              <w:jc w:val="center"/>
              <w:rPr>
                <w:rFonts w:eastAsia="仿宋_GB2312"/>
                <w:b/>
                <w:bCs/>
                <w:sz w:val="24"/>
              </w:rPr>
            </w:pPr>
            <w:r>
              <w:rPr>
                <w:rFonts w:eastAsia="仿宋_GB2312"/>
                <w:b/>
                <w:bCs/>
              </w:rPr>
              <w:t xml:space="preserve">     考核项目</w:t>
            </w:r>
          </w:p>
          <w:p>
            <w:pPr>
              <w:rPr>
                <w:rFonts w:eastAsia="仿宋_GB2312"/>
                <w:b/>
                <w:bCs/>
                <w:sz w:val="18"/>
              </w:rPr>
            </w:pPr>
            <w:r>
              <w:rPr>
                <w:rFonts w:eastAsia="仿宋_GB2312"/>
                <w:b/>
                <w:bCs/>
                <w:sz w:val="18"/>
              </w:rPr>
              <w:t>研究生</w:t>
            </w:r>
          </w:p>
          <w:p>
            <w:pPr>
              <w:rPr>
                <w:rFonts w:eastAsia="仿宋_GB2312"/>
                <w:b/>
                <w:bCs/>
                <w:sz w:val="24"/>
              </w:rPr>
            </w:pPr>
            <w:r>
              <w:rPr>
                <w:rFonts w:eastAsia="仿宋_GB2312"/>
                <w:b/>
                <w:bCs/>
                <w:sz w:val="18"/>
              </w:rPr>
              <w:t>类别</w:t>
            </w:r>
          </w:p>
        </w:tc>
        <w:tc>
          <w:tcPr>
            <w:tcW w:w="1644" w:type="dxa"/>
            <w:noWrap w:val="0"/>
            <w:vAlign w:val="center"/>
          </w:tcPr>
          <w:p>
            <w:pPr>
              <w:jc w:val="center"/>
              <w:rPr>
                <w:rFonts w:eastAsia="仿宋_GB2312"/>
                <w:b/>
                <w:bCs/>
                <w:sz w:val="24"/>
              </w:rPr>
            </w:pPr>
            <w:r>
              <w:rPr>
                <w:rFonts w:eastAsia="仿宋_GB2312"/>
                <w:b/>
                <w:bCs/>
                <w:sz w:val="24"/>
              </w:rPr>
              <w:t>德育模块</w:t>
            </w:r>
          </w:p>
          <w:p>
            <w:pPr>
              <w:jc w:val="center"/>
              <w:rPr>
                <w:rFonts w:eastAsia="仿宋_GB2312"/>
                <w:b/>
                <w:bCs/>
                <w:sz w:val="24"/>
              </w:rPr>
            </w:pPr>
            <w:r>
              <w:rPr>
                <w:rFonts w:eastAsia="仿宋_GB2312"/>
                <w:b/>
                <w:bCs/>
                <w:sz w:val="24"/>
              </w:rPr>
              <w:t>S1</w:t>
            </w:r>
          </w:p>
        </w:tc>
        <w:tc>
          <w:tcPr>
            <w:tcW w:w="1645" w:type="dxa"/>
            <w:noWrap w:val="0"/>
            <w:vAlign w:val="center"/>
          </w:tcPr>
          <w:p>
            <w:pPr>
              <w:jc w:val="center"/>
              <w:rPr>
                <w:rFonts w:eastAsia="仿宋_GB2312"/>
                <w:b/>
                <w:bCs/>
                <w:sz w:val="24"/>
              </w:rPr>
            </w:pPr>
            <w:r>
              <w:rPr>
                <w:rFonts w:eastAsia="仿宋_GB2312"/>
                <w:b/>
                <w:bCs/>
                <w:sz w:val="24"/>
              </w:rPr>
              <w:t>课业模块</w:t>
            </w:r>
          </w:p>
          <w:p>
            <w:pPr>
              <w:jc w:val="center"/>
              <w:rPr>
                <w:rFonts w:eastAsia="仿宋_GB2312"/>
                <w:b/>
                <w:bCs/>
                <w:sz w:val="24"/>
              </w:rPr>
            </w:pPr>
            <w:r>
              <w:rPr>
                <w:rFonts w:eastAsia="仿宋_GB2312"/>
                <w:b/>
                <w:bCs/>
                <w:sz w:val="24"/>
              </w:rPr>
              <w:t>S2</w:t>
            </w:r>
          </w:p>
        </w:tc>
        <w:tc>
          <w:tcPr>
            <w:tcW w:w="1814" w:type="dxa"/>
            <w:noWrap w:val="0"/>
            <w:vAlign w:val="center"/>
          </w:tcPr>
          <w:p>
            <w:pPr>
              <w:jc w:val="center"/>
              <w:rPr>
                <w:rFonts w:eastAsia="仿宋_GB2312"/>
                <w:b/>
                <w:bCs/>
                <w:sz w:val="24"/>
              </w:rPr>
            </w:pPr>
            <w:r>
              <w:rPr>
                <w:rFonts w:eastAsia="仿宋_GB2312"/>
                <w:b/>
                <w:bCs/>
                <w:sz w:val="24"/>
              </w:rPr>
              <w:t>素质拓展模块</w:t>
            </w:r>
          </w:p>
          <w:p>
            <w:pPr>
              <w:jc w:val="center"/>
              <w:rPr>
                <w:rFonts w:eastAsia="仿宋_GB2312"/>
                <w:b/>
                <w:bCs/>
                <w:sz w:val="24"/>
              </w:rPr>
            </w:pPr>
            <w:r>
              <w:rPr>
                <w:rFonts w:eastAsia="仿宋_GB2312"/>
                <w:b/>
                <w:bCs/>
                <w:sz w:val="24"/>
              </w:rPr>
              <w:t>S3</w:t>
            </w:r>
          </w:p>
        </w:tc>
        <w:tc>
          <w:tcPr>
            <w:tcW w:w="1475" w:type="dxa"/>
            <w:noWrap w:val="0"/>
            <w:vAlign w:val="center"/>
          </w:tcPr>
          <w:p>
            <w:pPr>
              <w:jc w:val="center"/>
              <w:rPr>
                <w:rFonts w:eastAsia="仿宋_GB2312"/>
                <w:b/>
                <w:bCs/>
                <w:sz w:val="24"/>
              </w:rPr>
            </w:pPr>
            <w:r>
              <w:rPr>
                <w:rFonts w:eastAsia="仿宋_GB2312"/>
                <w:b/>
                <w:bCs/>
                <w:sz w:val="24"/>
              </w:rPr>
              <w:t>创新模块</w:t>
            </w:r>
          </w:p>
          <w:p>
            <w:pPr>
              <w:jc w:val="center"/>
              <w:rPr>
                <w:rFonts w:eastAsia="仿宋_GB2312"/>
                <w:b/>
                <w:bCs/>
                <w:sz w:val="24"/>
              </w:rPr>
            </w:pPr>
            <w:r>
              <w:rPr>
                <w:rFonts w:eastAsia="仿宋_GB2312"/>
                <w:b/>
                <w:bCs/>
                <w:sz w:val="24"/>
              </w:rPr>
              <w:t>S</w:t>
            </w:r>
            <w:r>
              <w:rPr>
                <w:rFonts w:eastAsia="仿宋_GB2312"/>
                <w:b/>
                <w:bCs/>
                <w:sz w:val="24"/>
                <w:vertAlign w:val="sub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668" w:type="dxa"/>
            <w:noWrap w:val="0"/>
            <w:vAlign w:val="center"/>
          </w:tcPr>
          <w:p>
            <w:pPr>
              <w:spacing w:line="360" w:lineRule="auto"/>
              <w:jc w:val="center"/>
              <w:rPr>
                <w:rFonts w:eastAsia="仿宋_GB2312"/>
                <w:sz w:val="24"/>
              </w:rPr>
            </w:pPr>
            <w:r>
              <w:rPr>
                <w:rFonts w:eastAsia="仿宋_GB2312"/>
                <w:sz w:val="24"/>
              </w:rPr>
              <w:t>学术学位</w:t>
            </w:r>
          </w:p>
          <w:p>
            <w:pPr>
              <w:spacing w:line="360" w:lineRule="auto"/>
              <w:jc w:val="center"/>
              <w:rPr>
                <w:rFonts w:eastAsia="仿宋_GB2312"/>
                <w:sz w:val="24"/>
              </w:rPr>
            </w:pPr>
            <w:r>
              <w:rPr>
                <w:rFonts w:eastAsia="仿宋_GB2312"/>
                <w:sz w:val="24"/>
              </w:rPr>
              <w:t>研究生</w:t>
            </w:r>
          </w:p>
        </w:tc>
        <w:tc>
          <w:tcPr>
            <w:tcW w:w="1644" w:type="dxa"/>
            <w:noWrap w:val="0"/>
            <w:vAlign w:val="center"/>
          </w:tcPr>
          <w:p>
            <w:pPr>
              <w:spacing w:line="360" w:lineRule="auto"/>
              <w:jc w:val="center"/>
              <w:rPr>
                <w:rFonts w:eastAsia="仿宋_GB2312"/>
                <w:sz w:val="24"/>
              </w:rPr>
            </w:pPr>
            <w:r>
              <w:rPr>
                <w:rFonts w:eastAsia="仿宋_GB2312"/>
                <w:sz w:val="24"/>
              </w:rPr>
              <w:t>25</w:t>
            </w:r>
          </w:p>
        </w:tc>
        <w:tc>
          <w:tcPr>
            <w:tcW w:w="1645" w:type="dxa"/>
            <w:noWrap w:val="0"/>
            <w:vAlign w:val="center"/>
          </w:tcPr>
          <w:p>
            <w:pPr>
              <w:spacing w:line="360" w:lineRule="auto"/>
              <w:jc w:val="center"/>
              <w:rPr>
                <w:rFonts w:eastAsia="仿宋_GB2312"/>
                <w:sz w:val="24"/>
              </w:rPr>
            </w:pPr>
            <w:r>
              <w:rPr>
                <w:rFonts w:eastAsia="仿宋_GB2312"/>
                <w:sz w:val="24"/>
              </w:rPr>
              <w:t>45</w:t>
            </w:r>
          </w:p>
        </w:tc>
        <w:tc>
          <w:tcPr>
            <w:tcW w:w="1814" w:type="dxa"/>
            <w:noWrap w:val="0"/>
            <w:vAlign w:val="center"/>
          </w:tcPr>
          <w:p>
            <w:pPr>
              <w:spacing w:line="360" w:lineRule="auto"/>
              <w:jc w:val="center"/>
              <w:rPr>
                <w:rFonts w:eastAsia="仿宋_GB2312"/>
                <w:sz w:val="24"/>
              </w:rPr>
            </w:pPr>
            <w:r>
              <w:rPr>
                <w:rFonts w:eastAsia="仿宋_GB2312"/>
                <w:sz w:val="24"/>
              </w:rPr>
              <w:t>30</w:t>
            </w:r>
          </w:p>
        </w:tc>
        <w:tc>
          <w:tcPr>
            <w:tcW w:w="1475" w:type="dxa"/>
            <w:vMerge w:val="restart"/>
            <w:noWrap w:val="0"/>
            <w:vAlign w:val="center"/>
          </w:tcPr>
          <w:p>
            <w:pPr>
              <w:spacing w:line="360" w:lineRule="auto"/>
              <w:jc w:val="center"/>
              <w:rPr>
                <w:rFonts w:eastAsia="仿宋_GB2312"/>
                <w:sz w:val="24"/>
              </w:rPr>
            </w:pPr>
            <w:r>
              <w:rPr>
                <w:rFonts w:eastAsia="仿宋_GB2312"/>
                <w:sz w:val="24"/>
              </w:rPr>
              <w:t>不设权重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668" w:type="dxa"/>
            <w:noWrap w:val="0"/>
            <w:vAlign w:val="center"/>
          </w:tcPr>
          <w:p>
            <w:pPr>
              <w:spacing w:line="360" w:lineRule="auto"/>
              <w:jc w:val="center"/>
              <w:rPr>
                <w:rFonts w:eastAsia="仿宋_GB2312"/>
                <w:sz w:val="24"/>
              </w:rPr>
            </w:pPr>
            <w:r>
              <w:rPr>
                <w:rFonts w:eastAsia="仿宋_GB2312"/>
                <w:sz w:val="24"/>
              </w:rPr>
              <w:t>专业学位</w:t>
            </w:r>
          </w:p>
          <w:p>
            <w:pPr>
              <w:spacing w:line="360" w:lineRule="auto"/>
              <w:jc w:val="center"/>
              <w:rPr>
                <w:rFonts w:eastAsia="仿宋_GB2312"/>
                <w:sz w:val="24"/>
              </w:rPr>
            </w:pPr>
            <w:r>
              <w:rPr>
                <w:rFonts w:eastAsia="仿宋_GB2312"/>
                <w:sz w:val="24"/>
              </w:rPr>
              <w:t>研究生</w:t>
            </w:r>
          </w:p>
        </w:tc>
        <w:tc>
          <w:tcPr>
            <w:tcW w:w="1644" w:type="dxa"/>
            <w:noWrap w:val="0"/>
            <w:vAlign w:val="center"/>
          </w:tcPr>
          <w:p>
            <w:pPr>
              <w:spacing w:line="360" w:lineRule="auto"/>
              <w:jc w:val="center"/>
              <w:rPr>
                <w:rFonts w:eastAsia="仿宋_GB2312"/>
                <w:sz w:val="24"/>
              </w:rPr>
            </w:pPr>
            <w:r>
              <w:rPr>
                <w:rFonts w:eastAsia="仿宋_GB2312"/>
                <w:sz w:val="24"/>
              </w:rPr>
              <w:t>25</w:t>
            </w:r>
          </w:p>
        </w:tc>
        <w:tc>
          <w:tcPr>
            <w:tcW w:w="1645" w:type="dxa"/>
            <w:noWrap w:val="0"/>
            <w:vAlign w:val="center"/>
          </w:tcPr>
          <w:p>
            <w:pPr>
              <w:spacing w:line="360" w:lineRule="auto"/>
              <w:jc w:val="center"/>
              <w:rPr>
                <w:rFonts w:eastAsia="仿宋_GB2312"/>
                <w:sz w:val="24"/>
              </w:rPr>
            </w:pPr>
            <w:r>
              <w:rPr>
                <w:rFonts w:eastAsia="仿宋_GB2312"/>
                <w:sz w:val="24"/>
              </w:rPr>
              <w:t>40</w:t>
            </w:r>
          </w:p>
        </w:tc>
        <w:tc>
          <w:tcPr>
            <w:tcW w:w="1814" w:type="dxa"/>
            <w:noWrap w:val="0"/>
            <w:vAlign w:val="center"/>
          </w:tcPr>
          <w:p>
            <w:pPr>
              <w:spacing w:line="360" w:lineRule="auto"/>
              <w:jc w:val="center"/>
              <w:rPr>
                <w:rFonts w:eastAsia="仿宋_GB2312"/>
                <w:sz w:val="24"/>
              </w:rPr>
            </w:pPr>
            <w:r>
              <w:rPr>
                <w:rFonts w:eastAsia="仿宋_GB2312"/>
                <w:sz w:val="24"/>
              </w:rPr>
              <w:t>35</w:t>
            </w:r>
          </w:p>
        </w:tc>
        <w:tc>
          <w:tcPr>
            <w:tcW w:w="1475" w:type="dxa"/>
            <w:vMerge w:val="continue"/>
            <w:noWrap w:val="0"/>
            <w:vAlign w:val="center"/>
          </w:tcPr>
          <w:p>
            <w:pPr>
              <w:spacing w:line="360" w:lineRule="auto"/>
              <w:jc w:val="center"/>
              <w:rPr>
                <w:rFonts w:eastAsia="仿宋_GB2312"/>
                <w:sz w:val="32"/>
                <w:szCs w:val="32"/>
              </w:rPr>
            </w:pPr>
          </w:p>
        </w:tc>
      </w:tr>
    </w:tbl>
    <w:p>
      <w:pPr>
        <w:adjustRightInd w:val="0"/>
        <w:snapToGrid w:val="0"/>
        <w:spacing w:line="360" w:lineRule="auto"/>
        <w:ind w:firstLine="640" w:firstLineChars="200"/>
        <w:rPr>
          <w:rFonts w:eastAsia="仿宋_GB2312"/>
          <w:b/>
          <w:sz w:val="32"/>
          <w:szCs w:val="32"/>
        </w:rPr>
      </w:pPr>
      <w:r>
        <w:rPr>
          <w:rFonts w:eastAsia="仿宋_GB2312"/>
          <w:kern w:val="0"/>
          <w:sz w:val="32"/>
          <w:szCs w:val="32"/>
        </w:rPr>
        <w:t>总分S=W1×</w:t>
      </w:r>
      <w:r>
        <w:rPr>
          <w:rFonts w:eastAsia="仿宋_GB2312"/>
          <w:sz w:val="32"/>
          <w:szCs w:val="32"/>
        </w:rPr>
        <w:t>S</w:t>
      </w:r>
      <w:r>
        <w:rPr>
          <w:rFonts w:eastAsia="仿宋_GB2312"/>
          <w:sz w:val="32"/>
          <w:szCs w:val="32"/>
          <w:vertAlign w:val="subscript"/>
        </w:rPr>
        <w:t>1</w:t>
      </w:r>
      <w:r>
        <w:rPr>
          <w:rFonts w:eastAsia="仿宋_GB2312"/>
          <w:kern w:val="0"/>
          <w:sz w:val="32"/>
          <w:szCs w:val="32"/>
        </w:rPr>
        <w:t>+ W2×</w:t>
      </w:r>
      <w:r>
        <w:rPr>
          <w:rFonts w:eastAsia="仿宋_GB2312"/>
          <w:sz w:val="32"/>
          <w:szCs w:val="32"/>
        </w:rPr>
        <w:t>S</w:t>
      </w:r>
      <w:r>
        <w:rPr>
          <w:rFonts w:eastAsia="仿宋_GB2312"/>
          <w:sz w:val="32"/>
          <w:szCs w:val="32"/>
          <w:vertAlign w:val="subscript"/>
        </w:rPr>
        <w:t>2</w:t>
      </w:r>
      <w:r>
        <w:rPr>
          <w:rFonts w:eastAsia="仿宋_GB2312"/>
          <w:kern w:val="0"/>
          <w:sz w:val="32"/>
          <w:szCs w:val="32"/>
        </w:rPr>
        <w:t>+ W3×</w:t>
      </w:r>
      <w:r>
        <w:rPr>
          <w:rFonts w:eastAsia="仿宋_GB2312"/>
          <w:sz w:val="32"/>
          <w:szCs w:val="32"/>
        </w:rPr>
        <w:t>S</w:t>
      </w:r>
      <w:r>
        <w:rPr>
          <w:rFonts w:eastAsia="仿宋_GB2312"/>
          <w:sz w:val="32"/>
          <w:szCs w:val="32"/>
          <w:vertAlign w:val="subscript"/>
        </w:rPr>
        <w:t>3</w:t>
      </w:r>
      <w:r>
        <w:rPr>
          <w:rFonts w:eastAsia="仿宋_GB2312"/>
          <w:kern w:val="0"/>
          <w:sz w:val="32"/>
          <w:szCs w:val="32"/>
        </w:rPr>
        <w:t>+</w:t>
      </w:r>
      <w:r>
        <w:rPr>
          <w:rFonts w:eastAsia="仿宋_GB2312"/>
          <w:sz w:val="32"/>
          <w:szCs w:val="32"/>
        </w:rPr>
        <w:t xml:space="preserve"> S</w:t>
      </w:r>
      <w:r>
        <w:rPr>
          <w:rFonts w:eastAsia="仿宋_GB2312"/>
          <w:sz w:val="32"/>
          <w:szCs w:val="32"/>
          <w:vertAlign w:val="subscript"/>
        </w:rPr>
        <w:t>4</w:t>
      </w:r>
    </w:p>
    <w:p>
      <w:pPr>
        <w:pStyle w:val="6"/>
        <w:widowControl w:val="0"/>
        <w:spacing w:before="0" w:beforeAutospacing="0" w:after="0" w:afterAutospacing="0" w:line="360" w:lineRule="auto"/>
        <w:jc w:val="both"/>
        <w:rPr>
          <w:rFonts w:ascii="Times New Roman" w:hAnsi="Times New Roman" w:eastAsia="仿宋_GB2312"/>
          <w:b/>
          <w:sz w:val="32"/>
          <w:szCs w:val="32"/>
        </w:rPr>
      </w:pPr>
    </w:p>
    <w:p>
      <w:pPr>
        <w:pStyle w:val="6"/>
        <w:widowControl w:val="0"/>
        <w:spacing w:before="0" w:beforeAutospacing="0" w:after="0" w:afterAutospacing="0" w:line="360" w:lineRule="auto"/>
        <w:jc w:val="center"/>
        <w:rPr>
          <w:rFonts w:ascii="Times New Roman" w:hAnsi="Times New Roman" w:eastAsia="黑体"/>
          <w:sz w:val="32"/>
          <w:szCs w:val="32"/>
        </w:rPr>
      </w:pPr>
      <w:r>
        <w:rPr>
          <w:rFonts w:ascii="Times New Roman" w:hAnsi="Times New Roman" w:eastAsia="黑体"/>
          <w:sz w:val="32"/>
          <w:szCs w:val="32"/>
        </w:rPr>
        <w:t>第四章 德育模块</w:t>
      </w:r>
    </w:p>
    <w:p>
      <w:pPr>
        <w:autoSpaceDE w:val="0"/>
        <w:autoSpaceDN w:val="0"/>
        <w:adjustRightInd w:val="0"/>
        <w:spacing w:line="360" w:lineRule="auto"/>
        <w:ind w:firstLine="643" w:firstLineChars="200"/>
        <w:rPr>
          <w:rFonts w:eastAsia="仿宋_GB2312"/>
          <w:kern w:val="0"/>
          <w:sz w:val="32"/>
          <w:szCs w:val="32"/>
        </w:rPr>
      </w:pPr>
      <w:r>
        <w:rPr>
          <w:rFonts w:eastAsia="仿宋_GB2312"/>
          <w:b/>
          <w:kern w:val="0"/>
          <w:sz w:val="32"/>
          <w:szCs w:val="32"/>
        </w:rPr>
        <w:t xml:space="preserve">第九条 </w:t>
      </w:r>
      <w:r>
        <w:rPr>
          <w:rFonts w:eastAsia="仿宋_GB2312"/>
          <w:kern w:val="0"/>
          <w:sz w:val="32"/>
          <w:szCs w:val="32"/>
        </w:rPr>
        <w:t xml:space="preserve"> 德育模块主要考察研究生在践行社会主义核心价值观方面的情况，由评议成绩和记实考核两部分组成。德育模块具体计分方法如下：</w:t>
      </w:r>
    </w:p>
    <w:p>
      <w:pPr>
        <w:autoSpaceDE w:val="0"/>
        <w:autoSpaceDN w:val="0"/>
        <w:adjustRightInd w:val="0"/>
        <w:spacing w:line="360" w:lineRule="auto"/>
        <w:ind w:firstLine="640" w:firstLineChars="200"/>
        <w:rPr>
          <w:rFonts w:eastAsia="仿宋_GB2312"/>
          <w:sz w:val="32"/>
          <w:szCs w:val="32"/>
        </w:rPr>
      </w:pPr>
      <w:r>
        <w:rPr>
          <w:rFonts w:eastAsia="仿宋_GB2312"/>
          <w:kern w:val="0"/>
          <w:sz w:val="32"/>
          <w:szCs w:val="32"/>
        </w:rPr>
        <w:t>德育模块分数S1=评议成绩（60分）+记实成绩（40分）</w:t>
      </w:r>
    </w:p>
    <w:p>
      <w:pPr>
        <w:pStyle w:val="6"/>
        <w:widowControl w:val="0"/>
        <w:spacing w:before="0" w:beforeAutospacing="0" w:after="0" w:afterAutospacing="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（一）评议内容和评议方法</w:t>
      </w:r>
    </w:p>
    <w:p>
      <w:pPr>
        <w:pStyle w:val="6"/>
        <w:widowControl w:val="0"/>
        <w:spacing w:before="0" w:beforeAutospacing="0" w:after="0" w:afterAutospacing="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1．评议内容为政治素养、法制观念、诚实守信和团队协作。</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政治素养：坚持四项基本原则，拥护党的政策，思想积极向上，主动参加校、院组织的各项政治活动；</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法制观念：具有法制意识，爱护校园环境，自觉遵守国家法律法规和学校的各项规章制度；</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诚实守信：为人真诚，待人友善，品行正直，诺守诚信，遵守学术道德与学术规范；</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团队协作：关心班集体，关心学校事务和学校发展，遵守团队规则，尊重团队利益，积极参加各类团队活动，善于沟通和协作；</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2.评议办法：评议由本人导师、研究生代表评价、辅导员三部分评价构成，三部分之和满分为60分，其中导师评分满分为30分，辅导员和研究生代表评分满分各为15分。研究生代表除班长、团支书指定参加（若班级有党支部书记也指定参加），其余代表由选举产生，代表人数不得少于参评人数的20%，研究生代表评议分计算方法为除去最高、最低得分，取平均分。</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评议成绩=导师评议成绩（≤30）+研究生代表评议成绩（≤15）+辅导员评议成绩（≤15）。</w:t>
      </w:r>
    </w:p>
    <w:p>
      <w:pPr>
        <w:pStyle w:val="6"/>
        <w:widowControl w:val="0"/>
        <w:spacing w:before="0" w:beforeAutospacing="0" w:after="0" w:afterAutospacing="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（二）记实项目和标准</w:t>
      </w:r>
    </w:p>
    <w:p>
      <w:pPr>
        <w:pStyle w:val="6"/>
        <w:widowControl w:val="0"/>
        <w:spacing w:before="0" w:beforeAutospacing="0" w:after="0" w:afterAutospacing="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记实”主要是对研究生参与社会公益活动、志愿服务活动和其他有突出表现的事迹进行记录和评价。记实项目加分项满分40分，最低分可低于0分。参评者需要提供相应的证明材料，内容包含活动名称、活动时间（年、月、日）、活动时长（以小时为单位）、志愿服务者姓名、具体服务内容等，落款处要有组织单位的盖章或签字，证明材料时间必须在评奖年度内。记实项目内容包括：</w:t>
      </w:r>
    </w:p>
    <w:p>
      <w:pPr>
        <w:pStyle w:val="6"/>
        <w:widowControl w:val="0"/>
        <w:spacing w:before="0" w:beforeAutospacing="0" w:after="0" w:afterAutospacing="0" w:line="360" w:lineRule="auto"/>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sz w:val="32"/>
          <w:szCs w:val="32"/>
        </w:rPr>
        <w:t>1.</w:t>
      </w:r>
      <w:r>
        <w:rPr>
          <w:rFonts w:ascii="Times New Roman" w:hAnsi="Times New Roman" w:eastAsia="仿宋_GB2312"/>
          <w:color w:val="auto"/>
          <w:sz w:val="32"/>
          <w:szCs w:val="32"/>
        </w:rPr>
        <w:t>志愿服务。</w:t>
      </w:r>
      <w:r>
        <w:rPr>
          <w:rFonts w:hint="eastAsia" w:ascii="Times New Roman" w:hAnsi="Times New Roman" w:eastAsia="仿宋_GB2312"/>
          <w:color w:val="auto"/>
          <w:sz w:val="32"/>
          <w:szCs w:val="32"/>
          <w:lang w:val="en-US" w:eastAsia="zh-CN"/>
        </w:rPr>
        <w:t>志愿服务项</w:t>
      </w:r>
      <w:r>
        <w:rPr>
          <w:rFonts w:ascii="Times New Roman" w:hAnsi="Times New Roman" w:eastAsia="仿宋_GB2312"/>
          <w:color w:val="auto"/>
          <w:sz w:val="32"/>
          <w:szCs w:val="32"/>
        </w:rPr>
        <w:t>满分</w:t>
      </w:r>
      <w:r>
        <w:rPr>
          <w:rFonts w:hint="eastAsia" w:ascii="Times New Roman" w:hAnsi="Times New Roman" w:eastAsia="仿宋_GB2312"/>
          <w:color w:val="auto"/>
          <w:sz w:val="32"/>
          <w:szCs w:val="32"/>
          <w:lang w:val="en-US" w:eastAsia="zh-CN"/>
        </w:rPr>
        <w:t>不超过30</w:t>
      </w:r>
      <w:r>
        <w:rPr>
          <w:rFonts w:ascii="Times New Roman" w:hAnsi="Times New Roman" w:eastAsia="仿宋_GB2312"/>
          <w:color w:val="auto"/>
          <w:sz w:val="32"/>
          <w:szCs w:val="32"/>
        </w:rPr>
        <w:t>分</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在评奖年度内担任学校、学院组织的具备一定规模的活动的志愿者，从事非营利性的服务活动。其中，学校活动包括各职能部门及校研究生会组织的活动。学院活动方面，每年评审前，学院根据当年具体情况公布可列入志愿服务的项目。未列入项目范围内的，需提交申请，由学院综合测评领导小组认定。</w:t>
      </w:r>
    </w:p>
    <w:p>
      <w:pPr>
        <w:pStyle w:val="6"/>
        <w:widowControl w:val="0"/>
        <w:spacing w:before="0" w:beforeAutospacing="0" w:after="0" w:afterAutospacing="0" w:line="360" w:lineRule="auto"/>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计分方式为：单次或同一志愿服务不得低于</w:t>
      </w:r>
      <w:r>
        <w:rPr>
          <w:rFonts w:hint="eastAsia" w:ascii="Times New Roman" w:hAnsi="Times New Roman" w:eastAsia="仿宋_GB2312"/>
          <w:color w:val="auto"/>
          <w:sz w:val="32"/>
          <w:szCs w:val="32"/>
          <w:lang w:val="en-US" w:eastAsia="zh-CN"/>
        </w:rPr>
        <w:t>2</w:t>
      </w:r>
      <w:r>
        <w:rPr>
          <w:rFonts w:ascii="Times New Roman" w:hAnsi="Times New Roman" w:eastAsia="仿宋_GB2312"/>
          <w:color w:val="auto"/>
          <w:sz w:val="32"/>
          <w:szCs w:val="32"/>
        </w:rPr>
        <w:t>小时，0.</w:t>
      </w:r>
      <w:r>
        <w:rPr>
          <w:rFonts w:hint="eastAsia" w:ascii="Times New Roman" w:hAnsi="Times New Roman" w:eastAsia="仿宋_GB2312"/>
          <w:color w:val="auto"/>
          <w:sz w:val="32"/>
          <w:szCs w:val="32"/>
          <w:lang w:val="en-US" w:eastAsia="zh-CN"/>
        </w:rPr>
        <w:t>6</w:t>
      </w:r>
      <w:r>
        <w:rPr>
          <w:rFonts w:ascii="Times New Roman" w:hAnsi="Times New Roman" w:eastAsia="仿宋_GB2312"/>
          <w:color w:val="auto"/>
          <w:sz w:val="32"/>
          <w:szCs w:val="32"/>
        </w:rPr>
        <w:t>分/时，半日按</w:t>
      </w:r>
      <w:r>
        <w:rPr>
          <w:rFonts w:hint="eastAsia" w:ascii="Times New Roman" w:hAnsi="Times New Roman" w:eastAsia="仿宋_GB2312"/>
          <w:color w:val="auto"/>
          <w:sz w:val="32"/>
          <w:szCs w:val="32"/>
          <w:lang w:val="en-US" w:eastAsia="zh-CN"/>
        </w:rPr>
        <w:t>3</w:t>
      </w:r>
      <w:r>
        <w:rPr>
          <w:rFonts w:ascii="Times New Roman" w:hAnsi="Times New Roman" w:eastAsia="仿宋_GB2312"/>
          <w:color w:val="auto"/>
          <w:sz w:val="32"/>
          <w:szCs w:val="32"/>
        </w:rPr>
        <w:t>小时、全日按</w:t>
      </w:r>
      <w:r>
        <w:rPr>
          <w:rFonts w:hint="eastAsia" w:ascii="Times New Roman" w:hAnsi="Times New Roman" w:eastAsia="仿宋_GB2312"/>
          <w:color w:val="auto"/>
          <w:sz w:val="32"/>
          <w:szCs w:val="32"/>
          <w:lang w:val="en-US" w:eastAsia="zh-CN"/>
        </w:rPr>
        <w:t>6</w:t>
      </w:r>
      <w:r>
        <w:rPr>
          <w:rFonts w:ascii="Times New Roman" w:hAnsi="Times New Roman" w:eastAsia="仿宋_GB2312"/>
          <w:color w:val="auto"/>
          <w:sz w:val="32"/>
          <w:szCs w:val="32"/>
        </w:rPr>
        <w:t>小时计算。特殊项目根据相关文件规定执行，同一志愿服务加分上限为</w:t>
      </w:r>
      <w:r>
        <w:rPr>
          <w:rFonts w:hint="eastAsia" w:ascii="Times New Roman" w:hAnsi="Times New Roman" w:eastAsia="仿宋_GB2312"/>
          <w:color w:val="auto"/>
          <w:sz w:val="32"/>
          <w:szCs w:val="32"/>
          <w:lang w:val="en-US" w:eastAsia="zh-CN"/>
        </w:rPr>
        <w:t>15</w:t>
      </w:r>
      <w:r>
        <w:rPr>
          <w:rFonts w:ascii="Times New Roman" w:hAnsi="Times New Roman" w:eastAsia="仿宋_GB2312"/>
          <w:color w:val="auto"/>
          <w:sz w:val="32"/>
          <w:szCs w:val="32"/>
        </w:rPr>
        <w:t>分。</w:t>
      </w:r>
    </w:p>
    <w:p>
      <w:pPr>
        <w:pStyle w:val="6"/>
        <w:widowControl w:val="0"/>
        <w:spacing w:before="0" w:beforeAutospacing="0" w:after="0" w:afterAutospacing="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学院志愿者活动信息统一由院研究生会负责发布，活动召集者有权决定通过面试或者筛选简历的方式决定志愿者人选，志愿服务结束后需及时开具志愿服务证明，在每年学业奖学金评比材料报送截止时间内交至院研究生会。</w:t>
      </w:r>
    </w:p>
    <w:p>
      <w:pPr>
        <w:pStyle w:val="6"/>
        <w:widowControl w:val="0"/>
        <w:spacing w:before="0" w:beforeAutospacing="0" w:after="0" w:afterAutospacing="0" w:line="360" w:lineRule="auto"/>
        <w:ind w:firstLine="640" w:firstLineChars="200"/>
        <w:jc w:val="both"/>
        <w:rPr>
          <w:rFonts w:ascii="Times New Roman" w:hAnsi="Times New Roman" w:eastAsia="仿宋_GB2312"/>
          <w:color w:val="FF0000"/>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color w:val="auto"/>
          <w:sz w:val="32"/>
          <w:szCs w:val="32"/>
        </w:rPr>
        <w:t>寝室文明。</w:t>
      </w:r>
      <w:r>
        <w:rPr>
          <w:rFonts w:hint="eastAsia" w:ascii="Times New Roman" w:hAnsi="Times New Roman" w:eastAsia="仿宋_GB2312" w:cs="Times New Roman"/>
          <w:color w:val="auto"/>
          <w:sz w:val="32"/>
          <w:szCs w:val="32"/>
        </w:rPr>
        <w:t>每周寝室卫生、寝室文明由相应</w:t>
      </w:r>
      <w:r>
        <w:rPr>
          <w:rFonts w:hint="eastAsia" w:ascii="Times New Roman" w:hAnsi="Times New Roman" w:eastAsia="仿宋_GB2312" w:cs="Times New Roman"/>
          <w:color w:val="auto"/>
          <w:sz w:val="32"/>
          <w:szCs w:val="32"/>
          <w:lang w:val="en-US" w:eastAsia="zh-CN"/>
        </w:rPr>
        <w:t>楼宇</w:t>
      </w:r>
      <w:r>
        <w:rPr>
          <w:rFonts w:hint="eastAsia" w:ascii="Times New Roman" w:hAnsi="Times New Roman" w:eastAsia="仿宋_GB2312" w:cs="Times New Roman"/>
          <w:color w:val="auto"/>
          <w:sz w:val="32"/>
          <w:szCs w:val="32"/>
        </w:rPr>
        <w:t>的宿管</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学校</w:t>
      </w:r>
      <w:r>
        <w:rPr>
          <w:rFonts w:ascii="Times New Roman" w:hAnsi="Times New Roman" w:eastAsia="仿宋_GB2312" w:cs="Times New Roman"/>
          <w:color w:val="auto"/>
          <w:sz w:val="32"/>
          <w:szCs w:val="32"/>
        </w:rPr>
        <w:t>学院开展寝室文明检查</w:t>
      </w:r>
      <w:r>
        <w:rPr>
          <w:rFonts w:hint="eastAsia" w:ascii="Times New Roman" w:hAnsi="Times New Roman" w:eastAsia="仿宋_GB2312" w:cs="Times New Roman"/>
          <w:color w:val="auto"/>
          <w:sz w:val="32"/>
          <w:szCs w:val="32"/>
        </w:rPr>
        <w:t>，并以红、黄榜形式</w:t>
      </w:r>
      <w:r>
        <w:rPr>
          <w:rFonts w:hint="eastAsia" w:ascii="Times New Roman" w:hAnsi="Times New Roman" w:eastAsia="仿宋_GB2312" w:cs="Times New Roman"/>
          <w:color w:val="auto"/>
          <w:sz w:val="32"/>
          <w:szCs w:val="32"/>
          <w:lang w:val="en-US" w:eastAsia="zh-CN"/>
        </w:rPr>
        <w:t>进行奖惩</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参评年度内将依据《食品与生物工程学院学生寝室卫生与安全管理办法》（浙商大食〔2019〕2号）、《浙江工商大学食品与生物工程学院研究生寝室文明管理条例（试行）》进行表扬或批评，</w:t>
      </w:r>
      <w:r>
        <w:rPr>
          <w:rFonts w:hint="eastAsia" w:ascii="Times New Roman" w:hAnsi="Times New Roman" w:eastAsia="仿宋_GB2312" w:cs="Times New Roman"/>
          <w:color w:val="auto"/>
          <w:sz w:val="32"/>
          <w:szCs w:val="32"/>
          <w:lang w:val="en-US" w:eastAsia="zh-CN"/>
        </w:rPr>
        <w:t>每次通报表扬加2分</w:t>
      </w:r>
      <w:r>
        <w:rPr>
          <w:rFonts w:ascii="Times New Roman" w:hAnsi="Times New Roman" w:eastAsia="仿宋_GB2312" w:cs="Times New Roman"/>
          <w:color w:val="auto"/>
          <w:sz w:val="32"/>
          <w:szCs w:val="32"/>
        </w:rPr>
        <w:t>，扣分可按次数累计</w:t>
      </w:r>
      <w:r>
        <w:rPr>
          <w:rFonts w:hint="eastAsia" w:ascii="Times New Roman" w:hAnsi="Times New Roman" w:eastAsia="仿宋_GB2312" w:cs="Times New Roman"/>
          <w:color w:val="auto"/>
          <w:sz w:val="32"/>
          <w:szCs w:val="32"/>
        </w:rPr>
        <w:t>（扣分计算详见“（三）</w:t>
      </w:r>
      <w:r>
        <w:rPr>
          <w:rFonts w:ascii="Times New Roman" w:hAnsi="Times New Roman" w:eastAsia="仿宋_GB2312" w:cs="Times New Roman"/>
          <w:color w:val="auto"/>
          <w:sz w:val="32"/>
          <w:szCs w:val="32"/>
        </w:rPr>
        <w:t>扣分项目</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p>
    <w:p>
      <w:pPr>
        <w:pStyle w:val="6"/>
        <w:widowControl w:val="0"/>
        <w:spacing w:before="0" w:beforeAutospacing="0" w:after="0" w:afterAutospacing="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 实验室安全。学校学院组织实验室联络员开展实验室安全检查，参评年度将依据《浙江工商大学食品与生物工程学院科研实验室管理办法（试行）》进行表扬或批评，实施相应加扣分，加扣分可按次数累计</w:t>
      </w:r>
      <w:r>
        <w:rPr>
          <w:rFonts w:hint="eastAsia" w:ascii="Times New Roman" w:hAnsi="Times New Roman" w:eastAsia="仿宋_GB2312"/>
          <w:sz w:val="32"/>
          <w:szCs w:val="32"/>
        </w:rPr>
        <w:t>（扣分计算详见“（三）</w:t>
      </w:r>
      <w:r>
        <w:rPr>
          <w:rFonts w:ascii="Times New Roman" w:hAnsi="Times New Roman" w:eastAsia="仿宋_GB2312"/>
          <w:sz w:val="32"/>
          <w:szCs w:val="32"/>
        </w:rPr>
        <w:t>扣分项目</w:t>
      </w:r>
      <w:r>
        <w:rPr>
          <w:rFonts w:hint="eastAsia" w:ascii="Times New Roman" w:hAnsi="Times New Roman" w:eastAsia="仿宋_GB2312"/>
          <w:sz w:val="32"/>
          <w:szCs w:val="32"/>
        </w:rPr>
        <w:t>”）</w:t>
      </w:r>
      <w:r>
        <w:rPr>
          <w:rFonts w:ascii="Times New Roman" w:hAnsi="Times New Roman" w:eastAsia="仿宋_GB2312"/>
          <w:sz w:val="32"/>
          <w:szCs w:val="32"/>
        </w:rPr>
        <w:t>。</w:t>
      </w:r>
    </w:p>
    <w:p>
      <w:pPr>
        <w:pStyle w:val="6"/>
        <w:widowControl w:val="0"/>
        <w:spacing w:before="0" w:beforeAutospacing="0" w:after="0" w:afterAutospacing="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其他</w:t>
      </w:r>
    </w:p>
    <w:p>
      <w:pPr>
        <w:pStyle w:val="6"/>
        <w:widowControl w:val="0"/>
        <w:spacing w:before="0" w:beforeAutospacing="0" w:after="0" w:afterAutospacing="0" w:line="360" w:lineRule="auto"/>
        <w:ind w:firstLine="640" w:firstLineChars="200"/>
        <w:jc w:val="both"/>
        <w:rPr>
          <w:rFonts w:ascii="Times New Roman" w:hAnsi="Times New Roman" w:eastAsia="仿宋_GB2312"/>
          <w:strike/>
          <w:sz w:val="32"/>
          <w:szCs w:val="32"/>
        </w:rPr>
      </w:pPr>
      <w:r>
        <w:rPr>
          <w:rFonts w:hint="eastAsia" w:ascii="Times New Roman" w:hAnsi="Times New Roman" w:eastAsia="仿宋_GB2312"/>
          <w:sz w:val="32"/>
          <w:szCs w:val="32"/>
          <w:lang w:val="en-US" w:eastAsia="zh-CN"/>
        </w:rPr>
        <w:t>学院通报表扬一次每次可记2分，除此以外</w:t>
      </w:r>
      <w:r>
        <w:rPr>
          <w:rFonts w:ascii="Times New Roman" w:hAnsi="Times New Roman" w:eastAsia="仿宋_GB2312"/>
          <w:sz w:val="32"/>
          <w:szCs w:val="32"/>
        </w:rPr>
        <w:t>不在以上范围内的其他活动需要提出申请，并经工作小组讨论，领导小组审定，方可作为记实加分项，计入总成绩。</w:t>
      </w:r>
    </w:p>
    <w:p>
      <w:pPr>
        <w:pStyle w:val="6"/>
        <w:widowControl w:val="0"/>
        <w:spacing w:before="0" w:beforeAutospacing="0" w:after="0" w:afterAutospacing="0" w:line="360" w:lineRule="auto"/>
        <w:ind w:firstLine="640" w:firstLineChars="200"/>
        <w:jc w:val="both"/>
        <w:rPr>
          <w:rFonts w:ascii="Times New Roman" w:hAnsi="Times New Roman" w:eastAsia="仿宋_GB2312"/>
          <w:sz w:val="32"/>
          <w:szCs w:val="32"/>
        </w:rPr>
      </w:pPr>
    </w:p>
    <w:p>
      <w:pPr>
        <w:pStyle w:val="6"/>
        <w:widowControl w:val="0"/>
        <w:spacing w:before="0" w:beforeAutospacing="0" w:after="0" w:afterAutospacing="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扣分项目</w:t>
      </w:r>
    </w:p>
    <w:p>
      <w:pPr>
        <w:pStyle w:val="6"/>
        <w:widowControl w:val="0"/>
        <w:spacing w:before="0" w:beforeAutospacing="0" w:after="0" w:afterAutospacing="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违反</w:t>
      </w:r>
      <w:r>
        <w:rPr>
          <w:rFonts w:hint="eastAsia" w:ascii="Times New Roman" w:hAnsi="Times New Roman" w:eastAsia="仿宋_GB2312"/>
          <w:sz w:val="32"/>
          <w:szCs w:val="32"/>
        </w:rPr>
        <w:t>学院有关规定、</w:t>
      </w:r>
      <w:r>
        <w:rPr>
          <w:rFonts w:ascii="Times New Roman" w:hAnsi="Times New Roman" w:eastAsia="仿宋_GB2312"/>
          <w:sz w:val="32"/>
          <w:szCs w:val="32"/>
        </w:rPr>
        <w:t>校纪校规</w:t>
      </w:r>
      <w:r>
        <w:rPr>
          <w:rFonts w:hint="eastAsia" w:ascii="Times New Roman" w:hAnsi="Times New Roman" w:eastAsia="仿宋_GB2312"/>
          <w:sz w:val="32"/>
          <w:szCs w:val="32"/>
        </w:rPr>
        <w:t>和</w:t>
      </w:r>
      <w:r>
        <w:rPr>
          <w:rFonts w:ascii="Times New Roman" w:hAnsi="Times New Roman" w:eastAsia="仿宋_GB2312"/>
          <w:sz w:val="32"/>
          <w:szCs w:val="32"/>
        </w:rPr>
        <w:t>法律法规等行为</w:t>
      </w:r>
      <w:r>
        <w:rPr>
          <w:rFonts w:hint="eastAsia" w:ascii="Times New Roman" w:hAnsi="Times New Roman" w:eastAsia="仿宋_GB2312"/>
          <w:sz w:val="32"/>
          <w:szCs w:val="32"/>
        </w:rPr>
        <w:t>的，包括各类</w:t>
      </w:r>
      <w:r>
        <w:rPr>
          <w:rFonts w:ascii="Times New Roman" w:hAnsi="Times New Roman" w:eastAsia="仿宋_GB2312"/>
          <w:sz w:val="32"/>
          <w:szCs w:val="32"/>
        </w:rPr>
        <w:t>纪律处分、学校或学院通报批评</w:t>
      </w:r>
      <w:r>
        <w:rPr>
          <w:rFonts w:hint="eastAsia" w:ascii="Times New Roman" w:hAnsi="Times New Roman" w:eastAsia="仿宋_GB2312"/>
          <w:sz w:val="32"/>
          <w:szCs w:val="32"/>
        </w:rPr>
        <w:t>，应在德育模块相应扣分</w:t>
      </w:r>
      <w:r>
        <w:rPr>
          <w:rFonts w:ascii="Times New Roman" w:hAnsi="Times New Roman" w:eastAsia="仿宋_GB2312"/>
          <w:sz w:val="32"/>
          <w:szCs w:val="32"/>
        </w:rPr>
        <w:t>。</w:t>
      </w:r>
    </w:p>
    <w:p>
      <w:pPr>
        <w:pStyle w:val="6"/>
        <w:widowControl w:val="0"/>
        <w:spacing w:before="0" w:beforeAutospacing="0" w:after="0" w:afterAutospacing="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同一类型的加扣分不得在项目内正负抵扣。</w:t>
      </w:r>
      <w:r>
        <w:rPr>
          <w:rFonts w:hint="eastAsia" w:ascii="Times New Roman" w:hAnsi="Times New Roman" w:eastAsia="仿宋_GB2312"/>
          <w:sz w:val="32"/>
          <w:szCs w:val="32"/>
        </w:rPr>
        <w:t>在违反</w:t>
      </w:r>
      <w:r>
        <w:rPr>
          <w:rFonts w:ascii="Times New Roman" w:hAnsi="Times New Roman" w:eastAsia="仿宋_GB2312"/>
          <w:sz w:val="32"/>
          <w:szCs w:val="32"/>
        </w:rPr>
        <w:t>寝室文明检查</w:t>
      </w:r>
      <w:r>
        <w:rPr>
          <w:rFonts w:hint="eastAsia" w:ascii="Times New Roman" w:hAnsi="Times New Roman" w:eastAsia="仿宋_GB2312"/>
          <w:sz w:val="32"/>
          <w:szCs w:val="32"/>
        </w:rPr>
        <w:t>、</w:t>
      </w:r>
      <w:r>
        <w:rPr>
          <w:rFonts w:ascii="Times New Roman" w:hAnsi="Times New Roman" w:eastAsia="仿宋_GB2312"/>
          <w:sz w:val="32"/>
          <w:szCs w:val="32"/>
        </w:rPr>
        <w:t>实验室安全</w:t>
      </w:r>
      <w:r>
        <w:rPr>
          <w:rFonts w:hint="eastAsia" w:ascii="Times New Roman" w:hAnsi="Times New Roman" w:eastAsia="仿宋_GB2312"/>
          <w:sz w:val="32"/>
          <w:szCs w:val="32"/>
        </w:rPr>
        <w:t>等学院各类规章制度受到通报批评的，应在辅导员评议成绩予以扣分，扣分可累计。受到学校通报批评、或因情节较为严重事件而受到学院通报批评、纪律处分的，应予以扣分，扣分项详见下表，</w:t>
      </w:r>
      <w:r>
        <w:rPr>
          <w:rFonts w:ascii="Times New Roman" w:hAnsi="Times New Roman" w:eastAsia="仿宋_GB2312"/>
          <w:sz w:val="32"/>
          <w:szCs w:val="32"/>
        </w:rPr>
        <w:t>不同原因受到多次处分者，扣分可累计。</w:t>
      </w:r>
    </w:p>
    <w:tbl>
      <w:tblPr>
        <w:tblStyle w:val="7"/>
        <w:tblW w:w="9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1466"/>
        <w:gridCol w:w="1466"/>
        <w:gridCol w:w="1321"/>
        <w:gridCol w:w="1321"/>
        <w:gridCol w:w="1321"/>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453" w:type="dxa"/>
            <w:noWrap w:val="0"/>
            <w:vAlign w:val="center"/>
          </w:tcPr>
          <w:p>
            <w:pPr>
              <w:pStyle w:val="6"/>
              <w:widowControl w:val="0"/>
              <w:spacing w:before="0" w:beforeAutospacing="0" w:after="0" w:afterAutospacing="0" w:line="360" w:lineRule="auto"/>
              <w:jc w:val="center"/>
              <w:rPr>
                <w:rFonts w:ascii="Times New Roman" w:hAnsi="Times New Roman" w:eastAsia="仿宋_GB2312"/>
                <w:b/>
                <w:bCs/>
              </w:rPr>
            </w:pPr>
            <w:r>
              <w:rPr>
                <w:rFonts w:ascii="Times New Roman" w:hAnsi="Times New Roman" w:eastAsia="仿宋_GB2312"/>
                <w:b/>
                <w:bCs/>
              </w:rPr>
              <w:t>处分类型</w:t>
            </w:r>
          </w:p>
        </w:tc>
        <w:tc>
          <w:tcPr>
            <w:tcW w:w="1466" w:type="dxa"/>
            <w:noWrap w:val="0"/>
            <w:vAlign w:val="center"/>
          </w:tcPr>
          <w:p>
            <w:pPr>
              <w:pStyle w:val="6"/>
              <w:widowControl w:val="0"/>
              <w:spacing w:before="0" w:beforeAutospacing="0" w:after="0" w:afterAutospacing="0" w:line="360" w:lineRule="auto"/>
              <w:jc w:val="center"/>
              <w:rPr>
                <w:rFonts w:ascii="Times New Roman" w:hAnsi="Times New Roman" w:eastAsia="仿宋_GB2312"/>
                <w:b/>
                <w:bCs/>
              </w:rPr>
            </w:pPr>
            <w:r>
              <w:rPr>
                <w:rFonts w:hint="eastAsia" w:ascii="Times New Roman" w:hAnsi="Times New Roman" w:eastAsia="仿宋_GB2312"/>
                <w:b/>
                <w:bCs/>
                <w:lang w:val="en-US" w:eastAsia="zh-CN"/>
              </w:rPr>
              <w:t>院</w:t>
            </w:r>
            <w:r>
              <w:rPr>
                <w:rFonts w:ascii="Times New Roman" w:hAnsi="Times New Roman" w:eastAsia="仿宋_GB2312"/>
                <w:b/>
                <w:bCs/>
              </w:rPr>
              <w:t>通报批评</w:t>
            </w:r>
          </w:p>
        </w:tc>
        <w:tc>
          <w:tcPr>
            <w:tcW w:w="1466" w:type="dxa"/>
            <w:noWrap w:val="0"/>
            <w:vAlign w:val="center"/>
          </w:tcPr>
          <w:p>
            <w:pPr>
              <w:pStyle w:val="6"/>
              <w:widowControl w:val="0"/>
              <w:spacing w:before="0" w:beforeAutospacing="0" w:after="0" w:afterAutospacing="0" w:line="360" w:lineRule="auto"/>
              <w:jc w:val="center"/>
              <w:rPr>
                <w:rFonts w:ascii="Times New Roman" w:hAnsi="Times New Roman" w:eastAsia="仿宋_GB2312"/>
                <w:b/>
                <w:bCs/>
              </w:rPr>
            </w:pPr>
            <w:r>
              <w:rPr>
                <w:rFonts w:hint="eastAsia" w:ascii="Times New Roman" w:hAnsi="Times New Roman" w:eastAsia="仿宋_GB2312"/>
                <w:b/>
                <w:bCs/>
                <w:lang w:val="en-US" w:eastAsia="zh-CN"/>
              </w:rPr>
              <w:t>校</w:t>
            </w:r>
            <w:r>
              <w:rPr>
                <w:rFonts w:ascii="Times New Roman" w:hAnsi="Times New Roman" w:eastAsia="仿宋_GB2312"/>
                <w:b/>
                <w:bCs/>
              </w:rPr>
              <w:t>通报批评</w:t>
            </w:r>
          </w:p>
        </w:tc>
        <w:tc>
          <w:tcPr>
            <w:tcW w:w="1321" w:type="dxa"/>
            <w:noWrap w:val="0"/>
            <w:vAlign w:val="center"/>
          </w:tcPr>
          <w:p>
            <w:pPr>
              <w:pStyle w:val="6"/>
              <w:widowControl w:val="0"/>
              <w:spacing w:before="0" w:beforeAutospacing="0" w:after="0" w:afterAutospacing="0" w:line="360" w:lineRule="auto"/>
              <w:jc w:val="center"/>
              <w:rPr>
                <w:rFonts w:ascii="Times New Roman" w:hAnsi="Times New Roman" w:eastAsia="仿宋_GB2312"/>
                <w:b/>
                <w:bCs/>
              </w:rPr>
            </w:pPr>
            <w:r>
              <w:rPr>
                <w:rFonts w:ascii="Times New Roman" w:hAnsi="Times New Roman" w:eastAsia="仿宋_GB2312"/>
                <w:b/>
                <w:bCs/>
              </w:rPr>
              <w:t>警告</w:t>
            </w:r>
          </w:p>
        </w:tc>
        <w:tc>
          <w:tcPr>
            <w:tcW w:w="1321" w:type="dxa"/>
            <w:noWrap w:val="0"/>
            <w:vAlign w:val="center"/>
          </w:tcPr>
          <w:p>
            <w:pPr>
              <w:pStyle w:val="6"/>
              <w:widowControl w:val="0"/>
              <w:spacing w:before="0" w:beforeAutospacing="0" w:after="0" w:afterAutospacing="0" w:line="360" w:lineRule="auto"/>
              <w:jc w:val="center"/>
              <w:rPr>
                <w:rFonts w:ascii="Times New Roman" w:hAnsi="Times New Roman" w:eastAsia="仿宋_GB2312"/>
                <w:b/>
                <w:bCs/>
              </w:rPr>
            </w:pPr>
            <w:r>
              <w:rPr>
                <w:rFonts w:ascii="Times New Roman" w:hAnsi="Times New Roman" w:eastAsia="仿宋_GB2312"/>
                <w:b/>
                <w:bCs/>
              </w:rPr>
              <w:t>严重警告</w:t>
            </w:r>
          </w:p>
        </w:tc>
        <w:tc>
          <w:tcPr>
            <w:tcW w:w="1321" w:type="dxa"/>
            <w:noWrap w:val="0"/>
            <w:vAlign w:val="center"/>
          </w:tcPr>
          <w:p>
            <w:pPr>
              <w:pStyle w:val="6"/>
              <w:widowControl w:val="0"/>
              <w:spacing w:before="0" w:beforeAutospacing="0" w:after="0" w:afterAutospacing="0" w:line="360" w:lineRule="auto"/>
              <w:jc w:val="center"/>
              <w:rPr>
                <w:rFonts w:ascii="Times New Roman" w:hAnsi="Times New Roman" w:eastAsia="仿宋_GB2312"/>
                <w:b/>
                <w:bCs/>
              </w:rPr>
            </w:pPr>
            <w:r>
              <w:rPr>
                <w:rFonts w:ascii="Times New Roman" w:hAnsi="Times New Roman" w:eastAsia="仿宋_GB2312"/>
                <w:b/>
                <w:bCs/>
              </w:rPr>
              <w:t>记过</w:t>
            </w:r>
          </w:p>
        </w:tc>
        <w:tc>
          <w:tcPr>
            <w:tcW w:w="1322" w:type="dxa"/>
            <w:noWrap w:val="0"/>
            <w:vAlign w:val="center"/>
          </w:tcPr>
          <w:p>
            <w:pPr>
              <w:pStyle w:val="6"/>
              <w:widowControl w:val="0"/>
              <w:spacing w:before="0" w:beforeAutospacing="0" w:after="0" w:afterAutospacing="0" w:line="360" w:lineRule="auto"/>
              <w:jc w:val="center"/>
              <w:rPr>
                <w:rFonts w:ascii="Times New Roman" w:hAnsi="Times New Roman" w:eastAsia="仿宋_GB2312"/>
                <w:b/>
                <w:bCs/>
              </w:rPr>
            </w:pPr>
            <w:r>
              <w:rPr>
                <w:rFonts w:ascii="Times New Roman" w:hAnsi="Times New Roman" w:eastAsia="仿宋_GB2312"/>
                <w:b/>
                <w:bCs/>
              </w:rPr>
              <w:t>留校察看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453" w:type="dxa"/>
            <w:noWrap w:val="0"/>
            <w:vAlign w:val="center"/>
          </w:tcPr>
          <w:p>
            <w:pPr>
              <w:pStyle w:val="6"/>
              <w:widowControl w:val="0"/>
              <w:spacing w:before="0" w:beforeAutospacing="0" w:after="0" w:afterAutospacing="0" w:line="360" w:lineRule="auto"/>
              <w:jc w:val="center"/>
              <w:rPr>
                <w:rFonts w:ascii="Times New Roman" w:hAnsi="Times New Roman" w:eastAsia="仿宋_GB2312"/>
              </w:rPr>
            </w:pPr>
            <w:r>
              <w:rPr>
                <w:rFonts w:ascii="Times New Roman" w:hAnsi="Times New Roman" w:eastAsia="仿宋_GB2312"/>
              </w:rPr>
              <w:t>扣分</w:t>
            </w:r>
          </w:p>
        </w:tc>
        <w:tc>
          <w:tcPr>
            <w:tcW w:w="1466" w:type="dxa"/>
            <w:noWrap w:val="0"/>
            <w:vAlign w:val="center"/>
          </w:tcPr>
          <w:p>
            <w:pPr>
              <w:pStyle w:val="6"/>
              <w:widowControl w:val="0"/>
              <w:spacing w:before="0" w:beforeAutospacing="0" w:after="0" w:afterAutospacing="0" w:line="360" w:lineRule="auto"/>
              <w:jc w:val="center"/>
              <w:rPr>
                <w:rFonts w:hint="eastAsia" w:ascii="Times New Roman" w:hAnsi="Times New Roman" w:eastAsia="仿宋_GB2312"/>
                <w:lang w:eastAsia="zh-CN"/>
              </w:rPr>
            </w:pPr>
            <w:r>
              <w:rPr>
                <w:rFonts w:hint="eastAsia" w:ascii="Times New Roman" w:hAnsi="Times New Roman" w:eastAsia="仿宋_GB2312"/>
                <w:lang w:val="en-US" w:eastAsia="zh-CN"/>
              </w:rPr>
              <w:t>5</w:t>
            </w:r>
          </w:p>
        </w:tc>
        <w:tc>
          <w:tcPr>
            <w:tcW w:w="1466" w:type="dxa"/>
            <w:noWrap w:val="0"/>
            <w:vAlign w:val="center"/>
          </w:tcPr>
          <w:p>
            <w:pPr>
              <w:pStyle w:val="6"/>
              <w:widowControl w:val="0"/>
              <w:spacing w:before="0" w:beforeAutospacing="0" w:after="0" w:afterAutospacing="0" w:line="360" w:lineRule="auto"/>
              <w:jc w:val="center"/>
              <w:rPr>
                <w:rFonts w:hint="default" w:ascii="Times New Roman" w:hAnsi="Times New Roman" w:eastAsia="仿宋_GB2312"/>
                <w:lang w:val="en-US" w:eastAsia="zh-CN"/>
              </w:rPr>
            </w:pPr>
            <w:r>
              <w:rPr>
                <w:rFonts w:hint="eastAsia" w:ascii="Times New Roman" w:hAnsi="Times New Roman" w:eastAsia="仿宋_GB2312"/>
                <w:lang w:val="en-US" w:eastAsia="zh-CN"/>
              </w:rPr>
              <w:t>10</w:t>
            </w:r>
          </w:p>
        </w:tc>
        <w:tc>
          <w:tcPr>
            <w:tcW w:w="1321" w:type="dxa"/>
            <w:noWrap w:val="0"/>
            <w:vAlign w:val="center"/>
          </w:tcPr>
          <w:p>
            <w:pPr>
              <w:pStyle w:val="6"/>
              <w:widowControl w:val="0"/>
              <w:spacing w:before="0" w:beforeAutospacing="0" w:after="0" w:afterAutospacing="0" w:line="360" w:lineRule="auto"/>
              <w:jc w:val="center"/>
              <w:rPr>
                <w:rFonts w:hint="default" w:ascii="Times New Roman" w:hAnsi="Times New Roman" w:eastAsia="仿宋_GB2312"/>
                <w:lang w:val="en-US" w:eastAsia="zh-CN"/>
              </w:rPr>
            </w:pPr>
            <w:r>
              <w:rPr>
                <w:rFonts w:hint="eastAsia" w:ascii="Times New Roman" w:hAnsi="Times New Roman" w:eastAsia="仿宋_GB2312"/>
                <w:lang w:val="en-US" w:eastAsia="zh-CN"/>
              </w:rPr>
              <w:t>30</w:t>
            </w:r>
          </w:p>
        </w:tc>
        <w:tc>
          <w:tcPr>
            <w:tcW w:w="1321" w:type="dxa"/>
            <w:noWrap w:val="0"/>
            <w:vAlign w:val="center"/>
          </w:tcPr>
          <w:p>
            <w:pPr>
              <w:pStyle w:val="6"/>
              <w:widowControl w:val="0"/>
              <w:spacing w:before="0" w:beforeAutospacing="0" w:after="0" w:afterAutospacing="0" w:line="360" w:lineRule="auto"/>
              <w:jc w:val="center"/>
              <w:rPr>
                <w:rFonts w:hint="default" w:ascii="Times New Roman" w:hAnsi="Times New Roman" w:eastAsia="仿宋_GB2312"/>
                <w:lang w:val="en-US" w:eastAsia="zh-CN"/>
              </w:rPr>
            </w:pPr>
            <w:r>
              <w:rPr>
                <w:rFonts w:hint="eastAsia" w:ascii="Times New Roman" w:hAnsi="Times New Roman" w:eastAsia="仿宋_GB2312"/>
                <w:lang w:val="en-US" w:eastAsia="zh-CN"/>
              </w:rPr>
              <w:t>40</w:t>
            </w:r>
          </w:p>
        </w:tc>
        <w:tc>
          <w:tcPr>
            <w:tcW w:w="1321" w:type="dxa"/>
            <w:noWrap w:val="0"/>
            <w:vAlign w:val="center"/>
          </w:tcPr>
          <w:p>
            <w:pPr>
              <w:pStyle w:val="6"/>
              <w:widowControl w:val="0"/>
              <w:spacing w:before="0" w:beforeAutospacing="0" w:after="0" w:afterAutospacing="0" w:line="360" w:lineRule="auto"/>
              <w:jc w:val="center"/>
              <w:rPr>
                <w:rFonts w:ascii="Times New Roman" w:hAnsi="Times New Roman" w:eastAsia="仿宋_GB2312"/>
              </w:rPr>
            </w:pPr>
            <w:r>
              <w:rPr>
                <w:rFonts w:ascii="Times New Roman" w:hAnsi="Times New Roman" w:eastAsia="仿宋_GB2312"/>
              </w:rPr>
              <w:t>50</w:t>
            </w:r>
          </w:p>
        </w:tc>
        <w:tc>
          <w:tcPr>
            <w:tcW w:w="1322" w:type="dxa"/>
            <w:noWrap w:val="0"/>
            <w:vAlign w:val="center"/>
          </w:tcPr>
          <w:p>
            <w:pPr>
              <w:pStyle w:val="6"/>
              <w:widowControl w:val="0"/>
              <w:spacing w:before="0" w:beforeAutospacing="0" w:after="0" w:afterAutospacing="0" w:line="360" w:lineRule="auto"/>
              <w:jc w:val="center"/>
              <w:rPr>
                <w:rFonts w:ascii="Times New Roman" w:hAnsi="Times New Roman" w:eastAsia="仿宋_GB2312"/>
              </w:rPr>
            </w:pPr>
            <w:r>
              <w:rPr>
                <w:rFonts w:ascii="Times New Roman" w:hAnsi="Times New Roman" w:eastAsia="仿宋_GB2312"/>
              </w:rPr>
              <w:t>60</w:t>
            </w:r>
          </w:p>
        </w:tc>
      </w:tr>
    </w:tbl>
    <w:p>
      <w:pPr>
        <w:pStyle w:val="6"/>
        <w:widowControl w:val="0"/>
        <w:spacing w:before="0" w:beforeAutospacing="0" w:after="0" w:afterAutospacing="0" w:line="360" w:lineRule="auto"/>
        <w:jc w:val="both"/>
        <w:rPr>
          <w:rFonts w:ascii="Times New Roman" w:hAnsi="Times New Roman" w:eastAsia="仿宋_GB2312"/>
          <w:sz w:val="32"/>
          <w:szCs w:val="32"/>
        </w:rPr>
      </w:pPr>
    </w:p>
    <w:p>
      <w:pPr>
        <w:pStyle w:val="6"/>
        <w:widowControl w:val="0"/>
        <w:spacing w:before="0" w:beforeAutospacing="0" w:after="0" w:afterAutospacing="0" w:line="360" w:lineRule="auto"/>
        <w:jc w:val="center"/>
        <w:rPr>
          <w:rFonts w:ascii="Times New Roman" w:hAnsi="Times New Roman" w:eastAsia="黑体"/>
          <w:sz w:val="32"/>
          <w:szCs w:val="32"/>
        </w:rPr>
      </w:pPr>
      <w:r>
        <w:rPr>
          <w:rFonts w:ascii="Times New Roman" w:hAnsi="Times New Roman" w:eastAsia="黑体"/>
          <w:sz w:val="32"/>
          <w:szCs w:val="32"/>
        </w:rPr>
        <w:t>第五章 课业模块</w:t>
      </w:r>
    </w:p>
    <w:p>
      <w:pPr>
        <w:autoSpaceDE w:val="0"/>
        <w:autoSpaceDN w:val="0"/>
        <w:adjustRightInd w:val="0"/>
        <w:spacing w:line="360" w:lineRule="auto"/>
        <w:ind w:firstLine="643" w:firstLineChars="200"/>
        <w:rPr>
          <w:rFonts w:eastAsia="仿宋_GB2312"/>
          <w:kern w:val="0"/>
          <w:sz w:val="32"/>
          <w:szCs w:val="32"/>
        </w:rPr>
      </w:pPr>
      <w:r>
        <w:rPr>
          <w:rFonts w:hint="eastAsia" w:eastAsia="仿宋_GB2312"/>
          <w:b/>
          <w:kern w:val="0"/>
          <w:sz w:val="32"/>
          <w:szCs w:val="32"/>
        </w:rPr>
        <w:t>第十条</w:t>
      </w:r>
      <w:r>
        <w:rPr>
          <w:rFonts w:eastAsia="仿宋_GB2312"/>
          <w:b/>
          <w:kern w:val="0"/>
          <w:sz w:val="32"/>
          <w:szCs w:val="32"/>
        </w:rPr>
        <w:t xml:space="preserve"> </w:t>
      </w:r>
      <w:r>
        <w:rPr>
          <w:rFonts w:hint="eastAsia" w:eastAsia="仿宋_GB2312"/>
          <w:kern w:val="0"/>
          <w:sz w:val="32"/>
          <w:szCs w:val="32"/>
        </w:rPr>
        <w:t>课业模块主要考察研究生所修课程的学习情况。课业模块分数</w:t>
      </w:r>
      <w:r>
        <w:rPr>
          <w:rFonts w:eastAsia="仿宋_GB2312"/>
          <w:kern w:val="0"/>
          <w:sz w:val="32"/>
          <w:szCs w:val="32"/>
        </w:rPr>
        <w:t>S2=</w:t>
      </w:r>
      <w:r>
        <w:rPr>
          <w:rFonts w:hint="eastAsia" w:eastAsia="仿宋_GB2312"/>
          <w:kern w:val="0"/>
          <w:sz w:val="32"/>
          <w:szCs w:val="32"/>
        </w:rPr>
        <w:t>学习成绩加权平均分。</w:t>
      </w:r>
    </w:p>
    <w:p>
      <w:pPr>
        <w:ind w:firstLine="643" w:firstLineChars="200"/>
      </w:pPr>
      <w:r>
        <w:rPr>
          <w:rFonts w:hint="eastAsia" w:eastAsia="仿宋_GB2312"/>
          <w:b/>
          <w:bCs/>
          <w:kern w:val="0"/>
          <w:sz w:val="32"/>
          <w:szCs w:val="32"/>
        </w:rPr>
        <w:t>第十一条</w:t>
      </w:r>
      <w:r>
        <w:rPr>
          <w:rFonts w:eastAsia="仿宋_GB2312"/>
          <w:kern w:val="0"/>
          <w:sz w:val="32"/>
          <w:szCs w:val="32"/>
        </w:rPr>
        <w:t xml:space="preserve"> </w:t>
      </w:r>
      <w:r>
        <w:rPr>
          <w:rFonts w:hint="eastAsia" w:eastAsia="仿宋_GB2312"/>
          <w:kern w:val="0"/>
          <w:sz w:val="32"/>
          <w:szCs w:val="32"/>
        </w:rPr>
        <w:t>研二以测评学年内所修课程成绩计算参评年度的课业模块分数；研三以一、二年级的整体课程成绩计算参评年度的课业模块分数。</w:t>
      </w:r>
    </w:p>
    <w:p>
      <w:pPr>
        <w:autoSpaceDE w:val="0"/>
        <w:autoSpaceDN w:val="0"/>
        <w:adjustRightInd w:val="0"/>
        <w:spacing w:line="360" w:lineRule="auto"/>
        <w:ind w:firstLine="640" w:firstLineChars="200"/>
        <w:rPr>
          <w:rFonts w:eastAsia="仿宋_GB2312"/>
          <w:color w:val="FF0000"/>
          <w:kern w:val="0"/>
          <w:sz w:val="32"/>
          <w:szCs w:val="32"/>
        </w:rPr>
      </w:pPr>
    </w:p>
    <w:p>
      <w:pPr>
        <w:pStyle w:val="6"/>
        <w:widowControl w:val="0"/>
        <w:spacing w:before="0" w:beforeAutospacing="0" w:after="0" w:afterAutospacing="0" w:line="360" w:lineRule="auto"/>
        <w:jc w:val="center"/>
        <w:rPr>
          <w:rFonts w:ascii="Times New Roman" w:hAnsi="Times New Roman" w:eastAsia="黑体"/>
          <w:sz w:val="32"/>
          <w:szCs w:val="32"/>
        </w:rPr>
      </w:pPr>
      <w:r>
        <w:rPr>
          <w:rFonts w:ascii="Times New Roman" w:hAnsi="Times New Roman" w:eastAsia="黑体"/>
          <w:sz w:val="32"/>
          <w:szCs w:val="32"/>
        </w:rPr>
        <w:t>第六章 素质拓展模块</w:t>
      </w:r>
    </w:p>
    <w:p>
      <w:pPr>
        <w:autoSpaceDE w:val="0"/>
        <w:autoSpaceDN w:val="0"/>
        <w:adjustRightInd w:val="0"/>
        <w:spacing w:line="360" w:lineRule="auto"/>
        <w:ind w:firstLine="643" w:firstLineChars="200"/>
        <w:rPr>
          <w:rFonts w:eastAsia="仿宋_GB2312"/>
          <w:kern w:val="0"/>
          <w:sz w:val="32"/>
          <w:szCs w:val="32"/>
        </w:rPr>
      </w:pPr>
      <w:r>
        <w:rPr>
          <w:rFonts w:eastAsia="仿宋_GB2312"/>
          <w:b/>
          <w:kern w:val="0"/>
          <w:sz w:val="32"/>
          <w:szCs w:val="32"/>
        </w:rPr>
        <w:t xml:space="preserve">第十二条 </w:t>
      </w:r>
      <w:r>
        <w:rPr>
          <w:rFonts w:eastAsia="仿宋_GB2312"/>
          <w:kern w:val="0"/>
          <w:sz w:val="32"/>
          <w:szCs w:val="32"/>
        </w:rPr>
        <w:t>素质拓展模块重在考察研究生在个性化发展方面的情况，主要包括任职情况、参加创业实践活动、文体活动、境外学习交流活动以及经研工部认定的校内外挂职等方面的情况。素质拓展模块分数S3=任职得分+创业活动得分+比赛获奖得分+荣誉表彰得分+国际交流得分，本模块的成绩不设上限。</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（一）任职类型、计分标准、计分办法</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任职得分=任职岗位分+考核等级分</w:t>
      </w:r>
    </w:p>
    <w:p>
      <w:pPr>
        <w:numPr>
          <w:ilvl w:val="0"/>
          <w:numId w:val="1"/>
        </w:num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任职类型</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一类：校研究生会主席团成员；</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二类：校研究生会部长、副部长，院研究生会主席团成员，协会负责人，研工部认定的校内外挂职研究生、学院挂职团委副书记；</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三类：校研究生会干事，院研究生会部长、副部长，班长、党团支部书记，协会部门负责人；</w:t>
      </w:r>
    </w:p>
    <w:p>
      <w:pPr>
        <w:spacing w:line="360" w:lineRule="auto"/>
        <w:ind w:firstLine="640" w:firstLineChars="200"/>
        <w:rPr>
          <w:rFonts w:hint="eastAsia" w:eastAsia="仿宋_GB2312"/>
          <w:kern w:val="0"/>
          <w:sz w:val="32"/>
          <w:szCs w:val="32"/>
        </w:rPr>
      </w:pPr>
      <w:r>
        <w:rPr>
          <w:rFonts w:eastAsia="仿宋_GB2312"/>
          <w:kern w:val="0"/>
          <w:sz w:val="32"/>
          <w:szCs w:val="32"/>
        </w:rPr>
        <w:t>四类：院研究生会干事，班委，党团支部委员，协会干事。</w:t>
      </w:r>
    </w:p>
    <w:p>
      <w:pPr>
        <w:numPr>
          <w:ilvl w:val="0"/>
          <w:numId w:val="1"/>
        </w:numPr>
        <w:spacing w:line="360" w:lineRule="auto"/>
        <w:ind w:left="640" w:firstLine="640" w:firstLineChars="200"/>
        <w:rPr>
          <w:rFonts w:hint="eastAsia" w:eastAsia="仿宋_GB2312"/>
          <w:kern w:val="0"/>
          <w:sz w:val="32"/>
          <w:szCs w:val="32"/>
        </w:rPr>
      </w:pPr>
      <w:r>
        <w:rPr>
          <w:rFonts w:eastAsia="仿宋_GB2312"/>
          <w:kern w:val="0"/>
          <w:sz w:val="32"/>
          <w:szCs w:val="32"/>
        </w:rPr>
        <w:t>任职加分明细</w:t>
      </w:r>
    </w:p>
    <w:tbl>
      <w:tblPr>
        <w:tblStyle w:val="7"/>
        <w:tblW w:w="7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3"/>
        <w:gridCol w:w="1329"/>
        <w:gridCol w:w="1330"/>
        <w:gridCol w:w="1330"/>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jc w:val="center"/>
        </w:trPr>
        <w:tc>
          <w:tcPr>
            <w:tcW w:w="1833" w:type="dxa"/>
            <w:noWrap w:val="0"/>
            <w:vAlign w:val="top"/>
          </w:tcPr>
          <w:p>
            <w:pPr>
              <w:spacing w:line="360" w:lineRule="auto"/>
              <w:rPr>
                <w:rFonts w:hint="eastAsia" w:eastAsia="仿宋_GB2312"/>
                <w:b/>
                <w:bCs/>
                <w:kern w:val="0"/>
                <w:sz w:val="22"/>
                <w:szCs w:val="22"/>
              </w:rPr>
            </w:pPr>
            <w:r>
              <w:rPr>
                <w:sz w:val="22"/>
              </w:rPr>
              <mc:AlternateContent>
                <mc:Choice Requires="wps">
                  <w:drawing>
                    <wp:anchor distT="0" distB="0" distL="114300" distR="114300" simplePos="0" relativeHeight="251666432" behindDoc="0" locked="0" layoutInCell="1" allowOverlap="1">
                      <wp:simplePos x="0" y="0"/>
                      <wp:positionH relativeFrom="column">
                        <wp:posOffset>-92075</wp:posOffset>
                      </wp:positionH>
                      <wp:positionV relativeFrom="paragraph">
                        <wp:posOffset>-4445</wp:posOffset>
                      </wp:positionV>
                      <wp:extent cx="1196975" cy="455295"/>
                      <wp:effectExtent l="1905" t="4445" r="1270" b="16510"/>
                      <wp:wrapNone/>
                      <wp:docPr id="4" name="自选图形 4"/>
                      <wp:cNvGraphicFramePr/>
                      <a:graphic xmlns:a="http://schemas.openxmlformats.org/drawingml/2006/main">
                        <a:graphicData uri="http://schemas.microsoft.com/office/word/2010/wordprocessingShape">
                          <wps:wsp>
                            <wps:cNvCnPr/>
                            <wps:spPr>
                              <a:xfrm>
                                <a:off x="0" y="0"/>
                                <a:ext cx="1196975" cy="4552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7.25pt;margin-top:-0.35pt;height:35.85pt;width:94.25pt;z-index:251666432;mso-width-relative:page;mso-height-relative:page;" filled="f" stroked="t" coordsize="21600,21600" o:gfxdata="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wCQab1wAAAAgBAAAPAAAAAAAAAAEAIAAAACIAAABkcnMvZG93bnJldi54bWxQ&#10;SwECFAAUAAAACACHTuJAnUAmOfgBAADoAwAADgAAAAAAAAABACAAAAAmAQAAZHJzL2Uyb0RvYy54&#10;bWxQSwUGAAAAAAYABgBZAQAAkAUAAAAA&#10;">
                      <v:fill on="f" focussize="0,0"/>
                      <v:stroke color="#000000" joinstyle="round"/>
                      <v:imagedata o:title=""/>
                      <o:lock v:ext="edit" aspectratio="f"/>
                    </v:shape>
                  </w:pict>
                </mc:Fallback>
              </mc:AlternateContent>
            </w:r>
            <w:r>
              <w:rPr>
                <w:rFonts w:eastAsia="仿宋_GB2312"/>
                <w:kern w:val="0"/>
                <w:sz w:val="32"/>
                <w:szCs w:val="32"/>
              </w:rPr>
              <mc:AlternateContent>
                <mc:Choice Requires="wps">
                  <w:drawing>
                    <wp:anchor distT="0" distB="0" distL="114300" distR="114300" simplePos="0" relativeHeight="251667456" behindDoc="0" locked="0" layoutInCell="1" allowOverlap="1">
                      <wp:simplePos x="0" y="0"/>
                      <wp:positionH relativeFrom="column">
                        <wp:posOffset>565150</wp:posOffset>
                      </wp:positionH>
                      <wp:positionV relativeFrom="paragraph">
                        <wp:posOffset>54610</wp:posOffset>
                      </wp:positionV>
                      <wp:extent cx="675640" cy="3517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675640" cy="351790"/>
                              </a:xfrm>
                              <a:prstGeom prst="rect">
                                <a:avLst/>
                              </a:prstGeom>
                              <a:noFill/>
                              <a:ln>
                                <a:noFill/>
                              </a:ln>
                            </wps:spPr>
                            <wps:txbx>
                              <w:txbxContent>
                                <w:p>
                                  <w:pPr>
                                    <w:rPr>
                                      <w:rFonts w:hint="eastAsia" w:ascii="仿宋_GB2312" w:eastAsia="仿宋_GB2312"/>
                                      <w:b/>
                                    </w:rPr>
                                  </w:pPr>
                                  <w:r>
                                    <w:rPr>
                                      <w:rFonts w:hint="eastAsia" w:ascii="仿宋_GB2312" w:eastAsia="仿宋_GB2312"/>
                                      <w:b/>
                                    </w:rPr>
                                    <w:t>岗位分</w:t>
                                  </w:r>
                                </w:p>
                              </w:txbxContent>
                            </wps:txbx>
                            <wps:bodyPr upright="1"/>
                          </wps:wsp>
                        </a:graphicData>
                      </a:graphic>
                    </wp:anchor>
                  </w:drawing>
                </mc:Choice>
                <mc:Fallback>
                  <w:pict>
                    <v:shape id="_x0000_s1026" o:spid="_x0000_s1026" o:spt="202" type="#_x0000_t202" style="position:absolute;left:0pt;margin-left:44.5pt;margin-top:4.3pt;height:27.7pt;width:53.2pt;z-index:251667456;mso-width-relative:page;mso-height-relative:page;" filled="f" stroked="f" coordsize="21600,21600" o:gfxdata="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0pzgs1QAAAAcB&#10;AAAPAAAAAAAAAAEAIAAAACIAAABkcnMvZG93bnJldi54bWxQSwECFAAUAAAACACHTuJAbb4RA6wB&#10;AABNAwAADgAAAAAAAAABACAAAAAkAQAAZHJzL2Uyb0RvYy54bWxQSwUGAAAAAAYABgBZAQAAQgUA&#10;AAAA&#10;">
                      <v:fill on="f" focussize="0,0"/>
                      <v:stroke on="f"/>
                      <v:imagedata o:title=""/>
                      <o:lock v:ext="edit" aspectratio="f"/>
                      <v:textbox>
                        <w:txbxContent>
                          <w:p>
                            <w:pPr>
                              <w:rPr>
                                <w:rFonts w:hint="eastAsia" w:ascii="仿宋_GB2312" w:eastAsia="仿宋_GB2312"/>
                                <w:b/>
                              </w:rPr>
                            </w:pPr>
                            <w:r>
                              <w:rPr>
                                <w:rFonts w:hint="eastAsia" w:ascii="仿宋_GB2312" w:eastAsia="仿宋_GB2312"/>
                                <w:b/>
                              </w:rPr>
                              <w:t>岗位分</w:t>
                            </w:r>
                          </w:p>
                        </w:txbxContent>
                      </v:textbox>
                    </v:shape>
                  </w:pict>
                </mc:Fallback>
              </mc:AlternateContent>
            </w:r>
            <w:r>
              <w:rPr>
                <w:sz w:val="22"/>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168910</wp:posOffset>
                      </wp:positionV>
                      <wp:extent cx="730250" cy="487680"/>
                      <wp:effectExtent l="0" t="0" r="0" b="0"/>
                      <wp:wrapNone/>
                      <wp:docPr id="6" name="文本框 6"/>
                      <wp:cNvGraphicFramePr/>
                      <a:graphic xmlns:a="http://schemas.openxmlformats.org/drawingml/2006/main">
                        <a:graphicData uri="http://schemas.microsoft.com/office/word/2010/wordprocessingShape">
                          <wps:wsp>
                            <wps:cNvSpPr txBox="1"/>
                            <wps:spPr>
                              <a:xfrm>
                                <a:off x="0" y="0"/>
                                <a:ext cx="730250" cy="487680"/>
                              </a:xfrm>
                              <a:prstGeom prst="rect">
                                <a:avLst/>
                              </a:prstGeom>
                              <a:noFill/>
                              <a:ln>
                                <a:noFill/>
                              </a:ln>
                            </wps:spPr>
                            <wps:txbx>
                              <w:txbxContent>
                                <w:p>
                                  <w:pPr>
                                    <w:rPr>
                                      <w:rFonts w:hint="eastAsia" w:ascii="仿宋_GB2312" w:hAnsi="仿宋_GB2312" w:eastAsia="仿宋_GB2312" w:cs="仿宋_GB2312"/>
                                      <w:b/>
                                      <w:bCs/>
                                      <w:color w:val="FF0000"/>
                                    </w:rPr>
                                  </w:pPr>
                                  <w:r>
                                    <w:rPr>
                                      <w:rFonts w:hint="eastAsia" w:ascii="仿宋_GB2312" w:hAnsi="仿宋_GB2312" w:eastAsia="仿宋_GB2312" w:cs="仿宋_GB2312"/>
                                      <w:b/>
                                      <w:bCs/>
                                    </w:rPr>
                                    <w:t>等级分</w:t>
                                  </w:r>
                                </w:p>
                              </w:txbxContent>
                            </wps:txbx>
                            <wps:bodyPr upright="1"/>
                          </wps:wsp>
                        </a:graphicData>
                      </a:graphic>
                    </wp:anchor>
                  </w:drawing>
                </mc:Choice>
                <mc:Fallback>
                  <w:pict>
                    <v:shape id="_x0000_s1026" o:spid="_x0000_s1026" o:spt="202" type="#_x0000_t202" style="position:absolute;left:0pt;margin-left:3.75pt;margin-top:13.3pt;height:38.4pt;width:57.5pt;z-index:251660288;mso-width-relative:page;mso-height-relative:page;" filled="f" stroked="f" coordsize="21600,21600" o:gfxdata="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OydxNUAAAAI&#10;AQAADwAAAAAAAAABACAAAAAiAAAAZHJzL2Rvd25yZXYueG1sUEsBAhQAFAAAAAgAh07iQOSJI/Wt&#10;AQAATQMAAA4AAAAAAAAAAQAgAAAAJAEAAGRycy9lMm9Eb2MueG1sUEsFBgAAAAAGAAYAWQEAAEMF&#10;AAAAAA==&#10;">
                      <v:fill on="f" focussize="0,0"/>
                      <v:stroke on="f"/>
                      <v:imagedata o:title=""/>
                      <o:lock v:ext="edit" aspectratio="f"/>
                      <v:textbox>
                        <w:txbxContent>
                          <w:p>
                            <w:pPr>
                              <w:rPr>
                                <w:rFonts w:hint="eastAsia" w:ascii="仿宋_GB2312" w:hAnsi="仿宋_GB2312" w:eastAsia="仿宋_GB2312" w:cs="仿宋_GB2312"/>
                                <w:b/>
                                <w:bCs/>
                                <w:color w:val="FF0000"/>
                              </w:rPr>
                            </w:pPr>
                            <w:r>
                              <w:rPr>
                                <w:rFonts w:hint="eastAsia" w:ascii="仿宋_GB2312" w:hAnsi="仿宋_GB2312" w:eastAsia="仿宋_GB2312" w:cs="仿宋_GB2312"/>
                                <w:b/>
                                <w:bCs/>
                              </w:rPr>
                              <w:t>等级分</w:t>
                            </w:r>
                          </w:p>
                        </w:txbxContent>
                      </v:textbox>
                    </v:shape>
                  </w:pict>
                </mc:Fallback>
              </mc:AlternateContent>
            </w:r>
          </w:p>
        </w:tc>
        <w:tc>
          <w:tcPr>
            <w:tcW w:w="1329" w:type="dxa"/>
            <w:noWrap w:val="0"/>
            <w:vAlign w:val="center"/>
          </w:tcPr>
          <w:p>
            <w:pPr>
              <w:spacing w:line="360" w:lineRule="auto"/>
              <w:jc w:val="center"/>
              <w:rPr>
                <w:rFonts w:eastAsia="仿宋_GB2312"/>
                <w:b/>
                <w:bCs/>
                <w:kern w:val="0"/>
                <w:sz w:val="24"/>
              </w:rPr>
            </w:pPr>
            <w:r>
              <w:rPr>
                <w:rFonts w:eastAsia="仿宋_GB2312"/>
                <w:b/>
                <w:bCs/>
                <w:kern w:val="0"/>
                <w:sz w:val="24"/>
              </w:rPr>
              <w:t>一类</w:t>
            </w:r>
          </w:p>
          <w:p>
            <w:pPr>
              <w:spacing w:line="360" w:lineRule="auto"/>
              <w:jc w:val="center"/>
              <w:rPr>
                <w:rFonts w:eastAsia="仿宋_GB2312"/>
                <w:b/>
                <w:bCs/>
                <w:kern w:val="0"/>
                <w:sz w:val="24"/>
              </w:rPr>
            </w:pPr>
            <w:r>
              <w:rPr>
                <w:rFonts w:eastAsia="仿宋_GB2312"/>
                <w:kern w:val="0"/>
                <w:sz w:val="24"/>
              </w:rPr>
              <w:t>30</w:t>
            </w:r>
          </w:p>
        </w:tc>
        <w:tc>
          <w:tcPr>
            <w:tcW w:w="1330" w:type="dxa"/>
            <w:noWrap w:val="0"/>
            <w:vAlign w:val="center"/>
          </w:tcPr>
          <w:p>
            <w:pPr>
              <w:spacing w:line="360" w:lineRule="auto"/>
              <w:jc w:val="center"/>
              <w:rPr>
                <w:rFonts w:eastAsia="仿宋_GB2312"/>
                <w:b/>
                <w:bCs/>
                <w:kern w:val="0"/>
                <w:sz w:val="24"/>
              </w:rPr>
            </w:pPr>
            <w:r>
              <w:rPr>
                <w:rFonts w:eastAsia="仿宋_GB2312"/>
                <w:b/>
                <w:bCs/>
                <w:kern w:val="0"/>
                <w:sz w:val="24"/>
              </w:rPr>
              <w:t>二类</w:t>
            </w:r>
          </w:p>
          <w:p>
            <w:pPr>
              <w:spacing w:line="360" w:lineRule="auto"/>
              <w:jc w:val="center"/>
              <w:rPr>
                <w:rFonts w:eastAsia="仿宋_GB2312"/>
                <w:b/>
                <w:bCs/>
                <w:kern w:val="0"/>
                <w:sz w:val="24"/>
              </w:rPr>
            </w:pPr>
            <w:r>
              <w:rPr>
                <w:rFonts w:eastAsia="仿宋_GB2312"/>
                <w:kern w:val="0"/>
                <w:sz w:val="24"/>
              </w:rPr>
              <w:t>24</w:t>
            </w:r>
          </w:p>
        </w:tc>
        <w:tc>
          <w:tcPr>
            <w:tcW w:w="1330" w:type="dxa"/>
            <w:noWrap w:val="0"/>
            <w:vAlign w:val="center"/>
          </w:tcPr>
          <w:p>
            <w:pPr>
              <w:spacing w:line="360" w:lineRule="auto"/>
              <w:jc w:val="center"/>
              <w:rPr>
                <w:rFonts w:eastAsia="仿宋_GB2312"/>
                <w:b/>
                <w:bCs/>
                <w:kern w:val="0"/>
                <w:sz w:val="24"/>
              </w:rPr>
            </w:pPr>
            <w:r>
              <w:rPr>
                <w:rFonts w:eastAsia="仿宋_GB2312"/>
                <w:b/>
                <w:bCs/>
                <w:kern w:val="0"/>
                <w:sz w:val="24"/>
              </w:rPr>
              <w:t>三类</w:t>
            </w:r>
          </w:p>
          <w:p>
            <w:pPr>
              <w:spacing w:line="360" w:lineRule="auto"/>
              <w:jc w:val="center"/>
              <w:rPr>
                <w:rFonts w:eastAsia="仿宋_GB2312"/>
                <w:b/>
                <w:bCs/>
                <w:kern w:val="0"/>
                <w:sz w:val="24"/>
              </w:rPr>
            </w:pPr>
            <w:r>
              <w:rPr>
                <w:rFonts w:eastAsia="仿宋_GB2312"/>
                <w:kern w:val="0"/>
                <w:sz w:val="24"/>
              </w:rPr>
              <w:t>16</w:t>
            </w:r>
          </w:p>
        </w:tc>
        <w:tc>
          <w:tcPr>
            <w:tcW w:w="1330" w:type="dxa"/>
            <w:noWrap w:val="0"/>
            <w:vAlign w:val="center"/>
          </w:tcPr>
          <w:p>
            <w:pPr>
              <w:spacing w:line="360" w:lineRule="auto"/>
              <w:jc w:val="center"/>
              <w:rPr>
                <w:rFonts w:eastAsia="仿宋_GB2312"/>
                <w:b/>
                <w:bCs/>
                <w:kern w:val="0"/>
                <w:sz w:val="24"/>
              </w:rPr>
            </w:pPr>
            <w:r>
              <w:rPr>
                <w:rFonts w:eastAsia="仿宋_GB2312"/>
                <w:b/>
                <w:bCs/>
                <w:kern w:val="0"/>
                <w:sz w:val="24"/>
              </w:rPr>
              <w:t>四类</w:t>
            </w:r>
          </w:p>
          <w:p>
            <w:pPr>
              <w:spacing w:line="360" w:lineRule="auto"/>
              <w:jc w:val="center"/>
              <w:rPr>
                <w:rFonts w:eastAsia="仿宋_GB2312"/>
                <w:b/>
                <w:bCs/>
                <w:kern w:val="0"/>
                <w:sz w:val="24"/>
              </w:rPr>
            </w:pPr>
            <w:r>
              <w:rPr>
                <w:rFonts w:eastAsia="仿宋_GB2312"/>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833" w:type="dxa"/>
            <w:noWrap w:val="0"/>
            <w:vAlign w:val="center"/>
          </w:tcPr>
          <w:p>
            <w:pPr>
              <w:spacing w:line="360" w:lineRule="auto"/>
              <w:jc w:val="center"/>
              <w:rPr>
                <w:rFonts w:eastAsia="仿宋_GB2312"/>
                <w:kern w:val="0"/>
                <w:sz w:val="24"/>
              </w:rPr>
            </w:pPr>
            <w:r>
              <w:rPr>
                <w:rFonts w:eastAsia="仿宋_GB2312"/>
                <w:kern w:val="0"/>
                <w:sz w:val="24"/>
              </w:rPr>
              <w:t>A等</w:t>
            </w:r>
          </w:p>
        </w:tc>
        <w:tc>
          <w:tcPr>
            <w:tcW w:w="1329" w:type="dxa"/>
            <w:noWrap w:val="0"/>
            <w:vAlign w:val="center"/>
          </w:tcPr>
          <w:p>
            <w:pPr>
              <w:spacing w:line="360" w:lineRule="auto"/>
              <w:jc w:val="center"/>
              <w:rPr>
                <w:rFonts w:eastAsia="仿宋_GB2312"/>
                <w:kern w:val="0"/>
                <w:sz w:val="24"/>
              </w:rPr>
            </w:pPr>
            <w:r>
              <w:rPr>
                <w:rFonts w:eastAsia="仿宋_GB2312"/>
                <w:kern w:val="0"/>
                <w:sz w:val="24"/>
              </w:rPr>
              <w:t>+30</w:t>
            </w:r>
          </w:p>
        </w:tc>
        <w:tc>
          <w:tcPr>
            <w:tcW w:w="1330" w:type="dxa"/>
            <w:noWrap w:val="0"/>
            <w:vAlign w:val="center"/>
          </w:tcPr>
          <w:p>
            <w:pPr>
              <w:spacing w:line="360" w:lineRule="auto"/>
              <w:jc w:val="center"/>
              <w:rPr>
                <w:rFonts w:eastAsia="仿宋_GB2312"/>
                <w:kern w:val="0"/>
                <w:sz w:val="24"/>
              </w:rPr>
            </w:pPr>
            <w:r>
              <w:rPr>
                <w:rFonts w:eastAsia="仿宋_GB2312"/>
                <w:kern w:val="0"/>
                <w:sz w:val="24"/>
              </w:rPr>
              <w:t>+24</w:t>
            </w:r>
          </w:p>
        </w:tc>
        <w:tc>
          <w:tcPr>
            <w:tcW w:w="1330" w:type="dxa"/>
            <w:noWrap w:val="0"/>
            <w:vAlign w:val="center"/>
          </w:tcPr>
          <w:p>
            <w:pPr>
              <w:spacing w:line="360" w:lineRule="auto"/>
              <w:jc w:val="center"/>
              <w:rPr>
                <w:rFonts w:eastAsia="仿宋_GB2312"/>
                <w:kern w:val="0"/>
                <w:sz w:val="24"/>
              </w:rPr>
            </w:pPr>
            <w:r>
              <w:rPr>
                <w:rFonts w:eastAsia="仿宋_GB2312"/>
                <w:kern w:val="0"/>
                <w:sz w:val="24"/>
              </w:rPr>
              <w:t>+16</w:t>
            </w:r>
          </w:p>
        </w:tc>
        <w:tc>
          <w:tcPr>
            <w:tcW w:w="1330" w:type="dxa"/>
            <w:noWrap w:val="0"/>
            <w:vAlign w:val="center"/>
          </w:tcPr>
          <w:p>
            <w:pPr>
              <w:spacing w:line="360" w:lineRule="auto"/>
              <w:jc w:val="center"/>
              <w:rPr>
                <w:rFonts w:eastAsia="仿宋_GB2312"/>
                <w:kern w:val="0"/>
                <w:sz w:val="24"/>
              </w:rPr>
            </w:pPr>
            <w:r>
              <w:rPr>
                <w:rFonts w:eastAsia="仿宋_GB2312"/>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833" w:type="dxa"/>
            <w:noWrap w:val="0"/>
            <w:vAlign w:val="center"/>
          </w:tcPr>
          <w:p>
            <w:pPr>
              <w:spacing w:line="360" w:lineRule="auto"/>
              <w:jc w:val="center"/>
              <w:rPr>
                <w:rFonts w:eastAsia="仿宋_GB2312"/>
                <w:kern w:val="0"/>
                <w:sz w:val="24"/>
              </w:rPr>
            </w:pPr>
            <w:r>
              <w:rPr>
                <w:rFonts w:eastAsia="仿宋_GB2312"/>
                <w:kern w:val="0"/>
                <w:sz w:val="24"/>
              </w:rPr>
              <w:t>B等</w:t>
            </w:r>
          </w:p>
        </w:tc>
        <w:tc>
          <w:tcPr>
            <w:tcW w:w="1329" w:type="dxa"/>
            <w:noWrap w:val="0"/>
            <w:vAlign w:val="center"/>
          </w:tcPr>
          <w:p>
            <w:pPr>
              <w:spacing w:line="360" w:lineRule="auto"/>
              <w:jc w:val="center"/>
              <w:rPr>
                <w:rFonts w:eastAsia="仿宋_GB2312"/>
                <w:kern w:val="0"/>
                <w:sz w:val="24"/>
              </w:rPr>
            </w:pPr>
            <w:r>
              <w:rPr>
                <w:rFonts w:eastAsia="仿宋_GB2312"/>
                <w:kern w:val="0"/>
                <w:sz w:val="24"/>
              </w:rPr>
              <w:t>0</w:t>
            </w:r>
          </w:p>
        </w:tc>
        <w:tc>
          <w:tcPr>
            <w:tcW w:w="1330" w:type="dxa"/>
            <w:noWrap w:val="0"/>
            <w:vAlign w:val="center"/>
          </w:tcPr>
          <w:p>
            <w:pPr>
              <w:spacing w:line="360" w:lineRule="auto"/>
              <w:jc w:val="center"/>
              <w:rPr>
                <w:rFonts w:eastAsia="仿宋_GB2312"/>
                <w:kern w:val="0"/>
                <w:sz w:val="24"/>
              </w:rPr>
            </w:pPr>
            <w:r>
              <w:rPr>
                <w:rFonts w:eastAsia="仿宋_GB2312"/>
                <w:kern w:val="0"/>
                <w:sz w:val="24"/>
              </w:rPr>
              <w:t>0</w:t>
            </w:r>
          </w:p>
        </w:tc>
        <w:tc>
          <w:tcPr>
            <w:tcW w:w="1330" w:type="dxa"/>
            <w:noWrap w:val="0"/>
            <w:vAlign w:val="center"/>
          </w:tcPr>
          <w:p>
            <w:pPr>
              <w:spacing w:line="360" w:lineRule="auto"/>
              <w:jc w:val="center"/>
              <w:rPr>
                <w:rFonts w:eastAsia="仿宋_GB2312"/>
                <w:kern w:val="0"/>
                <w:sz w:val="24"/>
              </w:rPr>
            </w:pPr>
            <w:r>
              <w:rPr>
                <w:rFonts w:eastAsia="仿宋_GB2312"/>
                <w:kern w:val="0"/>
                <w:sz w:val="24"/>
              </w:rPr>
              <w:t>0</w:t>
            </w:r>
          </w:p>
        </w:tc>
        <w:tc>
          <w:tcPr>
            <w:tcW w:w="1330" w:type="dxa"/>
            <w:noWrap w:val="0"/>
            <w:vAlign w:val="center"/>
          </w:tcPr>
          <w:p>
            <w:pPr>
              <w:spacing w:line="360" w:lineRule="auto"/>
              <w:jc w:val="center"/>
              <w:rPr>
                <w:rFonts w:eastAsia="仿宋_GB2312"/>
                <w:kern w:val="0"/>
                <w:sz w:val="24"/>
              </w:rPr>
            </w:pPr>
            <w:r>
              <w:rPr>
                <w:rFonts w:eastAsia="仿宋_GB2312"/>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833" w:type="dxa"/>
            <w:noWrap w:val="0"/>
            <w:vAlign w:val="center"/>
          </w:tcPr>
          <w:p>
            <w:pPr>
              <w:spacing w:line="360" w:lineRule="auto"/>
              <w:jc w:val="center"/>
              <w:rPr>
                <w:rFonts w:eastAsia="仿宋_GB2312"/>
                <w:kern w:val="0"/>
                <w:sz w:val="24"/>
              </w:rPr>
            </w:pPr>
            <w:r>
              <w:rPr>
                <w:rFonts w:eastAsia="仿宋_GB2312"/>
                <w:kern w:val="0"/>
                <w:sz w:val="24"/>
              </w:rPr>
              <w:t>C等</w:t>
            </w:r>
          </w:p>
        </w:tc>
        <w:tc>
          <w:tcPr>
            <w:tcW w:w="1329" w:type="dxa"/>
            <w:noWrap w:val="0"/>
            <w:vAlign w:val="center"/>
          </w:tcPr>
          <w:p>
            <w:pPr>
              <w:spacing w:line="360" w:lineRule="auto"/>
              <w:jc w:val="center"/>
              <w:rPr>
                <w:rFonts w:eastAsia="仿宋_GB2312"/>
                <w:kern w:val="0"/>
                <w:sz w:val="24"/>
              </w:rPr>
            </w:pPr>
            <w:r>
              <w:rPr>
                <w:rFonts w:eastAsia="仿宋_GB2312"/>
                <w:kern w:val="0"/>
                <w:sz w:val="24"/>
              </w:rPr>
              <w:t>－30</w:t>
            </w:r>
          </w:p>
        </w:tc>
        <w:tc>
          <w:tcPr>
            <w:tcW w:w="1330" w:type="dxa"/>
            <w:noWrap w:val="0"/>
            <w:vAlign w:val="center"/>
          </w:tcPr>
          <w:p>
            <w:pPr>
              <w:spacing w:line="360" w:lineRule="auto"/>
              <w:jc w:val="center"/>
              <w:rPr>
                <w:rFonts w:eastAsia="仿宋_GB2312"/>
                <w:kern w:val="0"/>
                <w:sz w:val="24"/>
              </w:rPr>
            </w:pPr>
            <w:r>
              <w:rPr>
                <w:rFonts w:eastAsia="仿宋_GB2312"/>
                <w:kern w:val="0"/>
                <w:sz w:val="24"/>
              </w:rPr>
              <w:t>－24</w:t>
            </w:r>
          </w:p>
        </w:tc>
        <w:tc>
          <w:tcPr>
            <w:tcW w:w="1330" w:type="dxa"/>
            <w:noWrap w:val="0"/>
            <w:vAlign w:val="center"/>
          </w:tcPr>
          <w:p>
            <w:pPr>
              <w:spacing w:line="360" w:lineRule="auto"/>
              <w:jc w:val="center"/>
              <w:rPr>
                <w:rFonts w:eastAsia="仿宋_GB2312"/>
                <w:kern w:val="0"/>
                <w:sz w:val="24"/>
              </w:rPr>
            </w:pPr>
            <w:r>
              <w:rPr>
                <w:rFonts w:eastAsia="仿宋_GB2312"/>
                <w:kern w:val="0"/>
                <w:sz w:val="24"/>
              </w:rPr>
              <w:t>－16</w:t>
            </w:r>
          </w:p>
        </w:tc>
        <w:tc>
          <w:tcPr>
            <w:tcW w:w="1330" w:type="dxa"/>
            <w:noWrap w:val="0"/>
            <w:vAlign w:val="center"/>
          </w:tcPr>
          <w:p>
            <w:pPr>
              <w:spacing w:line="360" w:lineRule="auto"/>
              <w:jc w:val="center"/>
              <w:rPr>
                <w:rFonts w:eastAsia="仿宋_GB2312"/>
                <w:kern w:val="0"/>
                <w:sz w:val="24"/>
              </w:rPr>
            </w:pPr>
            <w:r>
              <w:rPr>
                <w:rFonts w:eastAsia="仿宋_GB2312"/>
                <w:kern w:val="0"/>
                <w:sz w:val="24"/>
              </w:rPr>
              <w:t>－8</w:t>
            </w:r>
          </w:p>
        </w:tc>
      </w:tr>
    </w:tbl>
    <w:p>
      <w:pPr>
        <w:autoSpaceDE w:val="0"/>
        <w:autoSpaceDN w:val="0"/>
        <w:adjustRightInd w:val="0"/>
        <w:spacing w:line="360" w:lineRule="auto"/>
        <w:ind w:firstLine="440" w:firstLineChars="200"/>
        <w:rPr>
          <w:rFonts w:eastAsia="仿宋_GB2312"/>
          <w:kern w:val="0"/>
          <w:sz w:val="32"/>
          <w:szCs w:val="32"/>
        </w:rPr>
      </w:pPr>
      <w:r>
        <w:rPr>
          <w:color w:val="FF0000"/>
          <w:sz w:val="22"/>
        </w:rPr>
        <mc:AlternateContent>
          <mc:Choice Requires="wps">
            <w:drawing>
              <wp:anchor distT="0" distB="0" distL="114300" distR="114300" simplePos="0" relativeHeight="251665408" behindDoc="0" locked="0" layoutInCell="1" allowOverlap="1">
                <wp:simplePos x="0" y="0"/>
                <wp:positionH relativeFrom="column">
                  <wp:posOffset>352425</wp:posOffset>
                </wp:positionH>
                <wp:positionV relativeFrom="paragraph">
                  <wp:posOffset>-1681480</wp:posOffset>
                </wp:positionV>
                <wp:extent cx="447675" cy="625475"/>
                <wp:effectExtent l="3810" t="2540" r="5715" b="19685"/>
                <wp:wrapNone/>
                <wp:docPr id="7" name="自选图形 7"/>
                <wp:cNvGraphicFramePr/>
                <a:graphic xmlns:a="http://schemas.openxmlformats.org/drawingml/2006/main">
                  <a:graphicData uri="http://schemas.microsoft.com/office/word/2010/wordprocessingShape">
                    <wps:wsp>
                      <wps:cNvCnPr/>
                      <wps:spPr>
                        <a:xfrm>
                          <a:off x="0" y="0"/>
                          <a:ext cx="447675" cy="6254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27.75pt;margin-top:-132.4pt;height:49.25pt;width:35.25pt;z-index:251665408;mso-width-relative:page;mso-height-relative:page;" filled="f" stroked="t" coordsize="21600,21600" o:gfxdata="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Py1OdkAAAAMAQAADwAAAAAAAAABACAAAAAiAAAAZHJzL2Rvd25yZXYueG1s&#10;UEsBAhQAFAAAAAgAh07iQKKC23f3AQAA5wMAAA4AAAAAAAAAAQAgAAAAKAEAAGRycy9lMm9Eb2Mu&#10;eG1sUEsFBgAAAAAGAAYAWQEAAJEFAAAAAA==&#10;">
                <v:fill on="f" focussize="0,0"/>
                <v:stroke color="#000000" joinstyle="round"/>
                <v:imagedata o:title=""/>
                <o:lock v:ext="edit" aspectratio="f"/>
              </v:shape>
            </w:pict>
          </mc:Fallback>
        </mc:AlternateContent>
      </w:r>
      <w:r>
        <w:rPr>
          <w:color w:val="FF0000"/>
          <w:sz w:val="22"/>
        </w:rPr>
        <mc:AlternateContent>
          <mc:Choice Requires="wps">
            <w:drawing>
              <wp:anchor distT="0" distB="0" distL="114300" distR="114300" simplePos="0" relativeHeight="251661312" behindDoc="0" locked="0" layoutInCell="1" allowOverlap="1">
                <wp:simplePos x="0" y="0"/>
                <wp:positionH relativeFrom="column">
                  <wp:posOffset>296545</wp:posOffset>
                </wp:positionH>
                <wp:positionV relativeFrom="paragraph">
                  <wp:posOffset>-1312545</wp:posOffset>
                </wp:positionV>
                <wp:extent cx="646430" cy="287020"/>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6430" cy="287020"/>
                        </a:xfrm>
                        <a:prstGeom prst="rect">
                          <a:avLst/>
                        </a:prstGeom>
                        <a:noFill/>
                        <a:ln>
                          <a:noFill/>
                        </a:ln>
                      </wps:spPr>
                      <wps:txbx>
                        <w:txbxContent>
                          <w:p>
                            <w:pPr>
                              <w:rPr>
                                <w:rFonts w:hint="eastAsia" w:ascii="仿宋_GB2312" w:hAnsi="仿宋_GB2312" w:eastAsia="仿宋_GB2312" w:cs="仿宋_GB2312"/>
                                <w:b/>
                                <w:bCs/>
                              </w:rPr>
                            </w:pPr>
                            <w:r>
                              <w:rPr>
                                <w:rFonts w:hint="eastAsia" w:ascii="仿宋_GB2312" w:hAnsi="仿宋_GB2312" w:eastAsia="仿宋_GB2312" w:cs="仿宋_GB2312"/>
                                <w:b/>
                                <w:bCs/>
                              </w:rPr>
                              <w:t>等级</w:t>
                            </w:r>
                          </w:p>
                        </w:txbxContent>
                      </wps:txbx>
                      <wps:bodyPr upright="1"/>
                    </wps:wsp>
                  </a:graphicData>
                </a:graphic>
              </wp:anchor>
            </w:drawing>
          </mc:Choice>
          <mc:Fallback>
            <w:pict>
              <v:shape id="_x0000_s1026" o:spid="_x0000_s1026" o:spt="202" type="#_x0000_t202" style="position:absolute;left:0pt;margin-left:23.35pt;margin-top:-103.35pt;height:22.6pt;width:50.9pt;z-index:251661312;mso-width-relative:page;mso-height-relative:page;" filled="f" stroked="f" coordsize="21600,21600" o:gfxdata="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pTekzXAAAA&#10;DAEAAA8AAAAAAAAAAQAgAAAAIgAAAGRycy9kb3ducmV2LnhtbFBLAQIUABQAAAAIAIdO4kB/YaR/&#10;rAEAAE0DAAAOAAAAAAAAAAEAIAAAACYBAABkcnMvZTJvRG9jLnhtbFBLBQYAAAAABgAGAFkBAABE&#10;BQAAAAA=&#10;">
                <v:fill on="f" focussize="0,0"/>
                <v:stroke on="f"/>
                <v:imagedata o:title=""/>
                <o:lock v:ext="edit" aspectratio="f"/>
                <v:textbox>
                  <w:txbxContent>
                    <w:p>
                      <w:pPr>
                        <w:rPr>
                          <w:rFonts w:hint="eastAsia" w:ascii="仿宋_GB2312" w:hAnsi="仿宋_GB2312" w:eastAsia="仿宋_GB2312" w:cs="仿宋_GB2312"/>
                          <w:b/>
                          <w:bCs/>
                        </w:rPr>
                      </w:pPr>
                      <w:r>
                        <w:rPr>
                          <w:rFonts w:hint="eastAsia" w:ascii="仿宋_GB2312" w:hAnsi="仿宋_GB2312" w:eastAsia="仿宋_GB2312" w:cs="仿宋_GB2312"/>
                          <w:b/>
                          <w:bCs/>
                        </w:rPr>
                        <w:t>等级</w:t>
                      </w:r>
                    </w:p>
                  </w:txbxContent>
                </v:textbox>
              </v:shape>
            </w:pict>
          </mc:Fallback>
        </mc:AlternateContent>
      </w:r>
      <w:r>
        <w:rPr>
          <w:rFonts w:eastAsia="仿宋_GB2312"/>
          <w:kern w:val="0"/>
          <w:sz w:val="32"/>
          <w:szCs w:val="32"/>
        </w:rPr>
        <w:t>说明：任多项学生干部职务者以最高职务类别计分，学生干部任职半年得分按50%计算，任职不足半年不予计分；考核获得A类等级的比例不得高于同组织内同类型任职人数的30%。</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（二）创业活动计分办法与标准</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研究生在校期间开展创业活动，凭测评学年内办理的营业执照或纳税证明予以计分。在测评学年在工商部门注册公司并取得营业执照者，计15分；在测评学年公司纳税额0.5至2万元人民币，计10分，纳税额2至5万元人民币计15分，5至10万元人民币计20分，10至20万元人民币计25分，20至50万元人民币计30分，50万元人民币以上计35分。若为多人共同创业，则有多人平均分配相应分值。</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（三）比赛获奖计分办法与标准</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测评年度内在政府及所属部门举办的文体比赛、各类技能竞赛等赛事中获得奖励，按以下标准计分：</w:t>
      </w:r>
    </w:p>
    <w:tbl>
      <w:tblPr>
        <w:tblStyle w:val="7"/>
        <w:tblW w:w="7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1701"/>
        <w:gridCol w:w="1485"/>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427" w:type="dxa"/>
            <w:tcBorders>
              <w:tl2br w:val="single" w:color="auto" w:sz="4" w:space="0"/>
            </w:tcBorders>
            <w:noWrap w:val="0"/>
            <w:vAlign w:val="center"/>
          </w:tcPr>
          <w:p>
            <w:pPr>
              <w:autoSpaceDE w:val="0"/>
              <w:autoSpaceDN w:val="0"/>
              <w:adjustRightInd w:val="0"/>
              <w:spacing w:line="360" w:lineRule="auto"/>
              <w:rPr>
                <w:rFonts w:eastAsia="仿宋_GB2312"/>
                <w:kern w:val="0"/>
                <w:sz w:val="24"/>
              </w:rPr>
            </w:pPr>
            <w:r>
              <w:rPr>
                <w:rFonts w:eastAsia="仿宋_GB2312"/>
                <w:kern w:val="0"/>
                <w:sz w:val="24"/>
              </w:rPr>
              <w:t xml:space="preserve">            名次</w:t>
            </w:r>
          </w:p>
          <w:p>
            <w:pPr>
              <w:spacing w:line="360" w:lineRule="auto"/>
              <w:ind w:firstLine="480" w:firstLineChars="200"/>
              <w:rPr>
                <w:rFonts w:eastAsia="仿宋_GB2312"/>
                <w:sz w:val="24"/>
              </w:rPr>
            </w:pPr>
            <w:r>
              <w:rPr>
                <w:rFonts w:eastAsia="仿宋_GB2312"/>
                <w:kern w:val="0"/>
                <w:sz w:val="24"/>
              </w:rPr>
              <w:t>类别</w:t>
            </w:r>
          </w:p>
        </w:tc>
        <w:tc>
          <w:tcPr>
            <w:tcW w:w="1701"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一等奖及以上</w:t>
            </w:r>
          </w:p>
        </w:tc>
        <w:tc>
          <w:tcPr>
            <w:tcW w:w="1485"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二等奖</w:t>
            </w:r>
          </w:p>
        </w:tc>
        <w:tc>
          <w:tcPr>
            <w:tcW w:w="1593"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427"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国家级</w:t>
            </w:r>
          </w:p>
        </w:tc>
        <w:tc>
          <w:tcPr>
            <w:tcW w:w="1701"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60</w:t>
            </w:r>
          </w:p>
        </w:tc>
        <w:tc>
          <w:tcPr>
            <w:tcW w:w="1485"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48</w:t>
            </w:r>
          </w:p>
        </w:tc>
        <w:tc>
          <w:tcPr>
            <w:tcW w:w="1593"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427"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省级</w:t>
            </w:r>
          </w:p>
        </w:tc>
        <w:tc>
          <w:tcPr>
            <w:tcW w:w="1701"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30</w:t>
            </w:r>
          </w:p>
        </w:tc>
        <w:tc>
          <w:tcPr>
            <w:tcW w:w="1485"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24</w:t>
            </w:r>
          </w:p>
        </w:tc>
        <w:tc>
          <w:tcPr>
            <w:tcW w:w="1593"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427"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地市（厅）级、校级</w:t>
            </w:r>
          </w:p>
        </w:tc>
        <w:tc>
          <w:tcPr>
            <w:tcW w:w="1701"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15</w:t>
            </w:r>
          </w:p>
        </w:tc>
        <w:tc>
          <w:tcPr>
            <w:tcW w:w="1485"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12</w:t>
            </w:r>
          </w:p>
        </w:tc>
        <w:tc>
          <w:tcPr>
            <w:tcW w:w="1593"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427"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院级</w:t>
            </w:r>
          </w:p>
        </w:tc>
        <w:tc>
          <w:tcPr>
            <w:tcW w:w="1701"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5</w:t>
            </w:r>
          </w:p>
        </w:tc>
        <w:tc>
          <w:tcPr>
            <w:tcW w:w="1485"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3</w:t>
            </w:r>
          </w:p>
        </w:tc>
        <w:tc>
          <w:tcPr>
            <w:tcW w:w="1593"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1</w:t>
            </w:r>
          </w:p>
        </w:tc>
      </w:tr>
    </w:tbl>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说明：（1）校级比赛项目是指由学校职能部门、校研究生会主办的正规评比类竞赛，由校级学生社团主办的全校性竞赛计分减半；（2）晋级类竞赛的计分不累计；（3）此类比赛为非学术类竞赛；（4）获奖性质为团体的比赛，</w:t>
      </w:r>
      <w:r>
        <w:rPr>
          <w:rFonts w:hint="eastAsia" w:eastAsia="仿宋_GB2312"/>
          <w:kern w:val="0"/>
          <w:sz w:val="32"/>
          <w:szCs w:val="32"/>
          <w:lang w:val="en-US" w:eastAsia="zh-CN"/>
        </w:rPr>
        <w:t>文体类排名不分先后，全体成员*0.6，若比赛分核心成员*0.8，(人员不超过总人数的20%)，其他非核心成员*0.5</w:t>
      </w:r>
      <w:r>
        <w:rPr>
          <w:rFonts w:eastAsia="仿宋_GB2312"/>
          <w:kern w:val="0"/>
          <w:sz w:val="32"/>
          <w:szCs w:val="32"/>
        </w:rPr>
        <w:t>；（5）第一名</w:t>
      </w:r>
      <w:r>
        <w:rPr>
          <w:rFonts w:hint="eastAsia" w:eastAsia="仿宋_GB2312"/>
          <w:kern w:val="0"/>
          <w:sz w:val="32"/>
          <w:szCs w:val="32"/>
          <w:lang w:eastAsia="zh-CN"/>
        </w:rPr>
        <w:t>（</w:t>
      </w:r>
      <w:r>
        <w:rPr>
          <w:rFonts w:hint="eastAsia" w:eastAsia="仿宋_GB2312"/>
          <w:kern w:val="0"/>
          <w:sz w:val="32"/>
          <w:szCs w:val="32"/>
          <w:lang w:val="en-US" w:eastAsia="zh-CN"/>
        </w:rPr>
        <w:t>运动会）</w:t>
      </w:r>
      <w:r>
        <w:rPr>
          <w:rFonts w:eastAsia="仿宋_GB2312"/>
          <w:kern w:val="0"/>
          <w:sz w:val="32"/>
          <w:szCs w:val="32"/>
        </w:rPr>
        <w:t>或金奖参照一等奖及以上计分，第二至四名或银奖参照二等奖计分，第五至八名或铜奖参照三等奖计分；（6）如未在上述获奖范围内，由</w:t>
      </w:r>
      <w:r>
        <w:rPr>
          <w:rFonts w:eastAsia="仿宋_GB2312"/>
          <w:sz w:val="32"/>
          <w:szCs w:val="32"/>
        </w:rPr>
        <w:t>工作小组讨论，领导小组审定</w:t>
      </w:r>
      <w:r>
        <w:rPr>
          <w:rFonts w:eastAsia="仿宋_GB2312"/>
          <w:kern w:val="0"/>
          <w:sz w:val="32"/>
          <w:szCs w:val="32"/>
        </w:rPr>
        <w:t>。</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（四）荣誉表彰计分办法与标准</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在测评学年内研究生获得一定层次的校内外表彰，应予以加分，计分标准如下。</w:t>
      </w:r>
    </w:p>
    <w:tbl>
      <w:tblPr>
        <w:tblStyle w:val="7"/>
        <w:tblW w:w="10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1503"/>
        <w:gridCol w:w="1276"/>
        <w:gridCol w:w="2297"/>
        <w:gridCol w:w="184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6" w:hRule="atLeast"/>
          <w:jc w:val="center"/>
        </w:trPr>
        <w:tc>
          <w:tcPr>
            <w:tcW w:w="1848"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类别</w:t>
            </w:r>
          </w:p>
        </w:tc>
        <w:tc>
          <w:tcPr>
            <w:tcW w:w="1503"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国家级</w:t>
            </w:r>
          </w:p>
        </w:tc>
        <w:tc>
          <w:tcPr>
            <w:tcW w:w="1276"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省级</w:t>
            </w:r>
          </w:p>
        </w:tc>
        <w:tc>
          <w:tcPr>
            <w:tcW w:w="2297"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地市</w:t>
            </w:r>
            <w:r>
              <w:rPr>
                <w:rFonts w:hint="eastAsia" w:eastAsia="仿宋_GB2312"/>
                <w:kern w:val="0"/>
                <w:sz w:val="24"/>
                <w:lang w:val="en-US" w:eastAsia="zh-CN"/>
              </w:rPr>
              <w:t>区</w:t>
            </w:r>
            <w:r>
              <w:rPr>
                <w:rFonts w:eastAsia="仿宋_GB2312"/>
                <w:kern w:val="0"/>
                <w:sz w:val="24"/>
              </w:rPr>
              <w:t>（厅）级</w:t>
            </w:r>
          </w:p>
        </w:tc>
        <w:tc>
          <w:tcPr>
            <w:tcW w:w="1845"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校级</w:t>
            </w:r>
          </w:p>
        </w:tc>
        <w:tc>
          <w:tcPr>
            <w:tcW w:w="1845"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48"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加分</w:t>
            </w:r>
          </w:p>
        </w:tc>
        <w:tc>
          <w:tcPr>
            <w:tcW w:w="1503"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60</w:t>
            </w:r>
          </w:p>
        </w:tc>
        <w:tc>
          <w:tcPr>
            <w:tcW w:w="1276"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30</w:t>
            </w:r>
          </w:p>
        </w:tc>
        <w:tc>
          <w:tcPr>
            <w:tcW w:w="2297" w:type="dxa"/>
            <w:noWrap w:val="0"/>
            <w:vAlign w:val="center"/>
          </w:tcPr>
          <w:p>
            <w:pPr>
              <w:autoSpaceDE w:val="0"/>
              <w:autoSpaceDN w:val="0"/>
              <w:adjustRightInd w:val="0"/>
              <w:spacing w:line="360" w:lineRule="auto"/>
              <w:jc w:val="center"/>
              <w:rPr>
                <w:rFonts w:hint="default" w:eastAsia="仿宋_GB2312"/>
                <w:kern w:val="0"/>
                <w:sz w:val="24"/>
                <w:lang w:val="en-US" w:eastAsia="zh-CN"/>
              </w:rPr>
            </w:pPr>
            <w:r>
              <w:rPr>
                <w:rFonts w:hint="eastAsia" w:eastAsia="仿宋_GB2312"/>
                <w:kern w:val="0"/>
                <w:sz w:val="24"/>
                <w:lang w:val="en-US" w:eastAsia="zh-CN"/>
              </w:rPr>
              <w:t>20</w:t>
            </w:r>
          </w:p>
        </w:tc>
        <w:tc>
          <w:tcPr>
            <w:tcW w:w="1845" w:type="dxa"/>
            <w:noWrap w:val="0"/>
            <w:vAlign w:val="center"/>
          </w:tcPr>
          <w:p>
            <w:pPr>
              <w:autoSpaceDE w:val="0"/>
              <w:autoSpaceDN w:val="0"/>
              <w:adjustRightInd w:val="0"/>
              <w:spacing w:line="360" w:lineRule="auto"/>
              <w:jc w:val="center"/>
              <w:rPr>
                <w:rFonts w:hint="default" w:eastAsia="仿宋_GB2312"/>
                <w:kern w:val="0"/>
                <w:sz w:val="24"/>
                <w:lang w:val="en-US" w:eastAsia="zh-CN"/>
              </w:rPr>
            </w:pPr>
            <w:r>
              <w:rPr>
                <w:rFonts w:hint="eastAsia" w:eastAsia="仿宋_GB2312"/>
                <w:kern w:val="0"/>
                <w:sz w:val="24"/>
                <w:lang w:val="en-US" w:eastAsia="zh-CN"/>
              </w:rPr>
              <w:t>15</w:t>
            </w:r>
          </w:p>
        </w:tc>
        <w:tc>
          <w:tcPr>
            <w:tcW w:w="1845" w:type="dxa"/>
            <w:noWrap w:val="0"/>
            <w:vAlign w:val="center"/>
          </w:tcPr>
          <w:p>
            <w:pPr>
              <w:autoSpaceDE w:val="0"/>
              <w:autoSpaceDN w:val="0"/>
              <w:adjustRightInd w:val="0"/>
              <w:spacing w:line="360" w:lineRule="auto"/>
              <w:jc w:val="center"/>
              <w:rPr>
                <w:rFonts w:eastAsia="仿宋_GB2312"/>
                <w:kern w:val="0"/>
                <w:sz w:val="24"/>
              </w:rPr>
            </w:pPr>
            <w:r>
              <w:rPr>
                <w:rFonts w:eastAsia="仿宋_GB2312"/>
                <w:kern w:val="0"/>
                <w:sz w:val="24"/>
              </w:rPr>
              <w:t>7.5</w:t>
            </w:r>
          </w:p>
        </w:tc>
      </w:tr>
    </w:tbl>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说明：（1）同一类型的荣誉以所获得的最高级别荣誉计分，不同级别不累计加分；（2）</w:t>
      </w:r>
      <w:r>
        <w:rPr>
          <w:rFonts w:hint="eastAsia" w:eastAsia="仿宋_GB2312"/>
          <w:kern w:val="0"/>
          <w:sz w:val="32"/>
          <w:szCs w:val="32"/>
          <w:lang w:val="en-US" w:eastAsia="zh-CN"/>
        </w:rPr>
        <w:t>获</w:t>
      </w:r>
      <w:r>
        <w:rPr>
          <w:rFonts w:eastAsia="仿宋_GB2312"/>
          <w:kern w:val="0"/>
          <w:sz w:val="32"/>
          <w:szCs w:val="32"/>
        </w:rPr>
        <w:t>奖性质为团体的</w:t>
      </w:r>
      <w:r>
        <w:rPr>
          <w:rFonts w:hint="eastAsia" w:eastAsia="仿宋_GB2312"/>
          <w:kern w:val="0"/>
          <w:sz w:val="32"/>
          <w:szCs w:val="32"/>
          <w:lang w:val="en-US" w:eastAsia="zh-CN"/>
        </w:rPr>
        <w:t>荣誉</w:t>
      </w:r>
      <w:r>
        <w:rPr>
          <w:rFonts w:eastAsia="仿宋_GB2312"/>
          <w:kern w:val="0"/>
          <w:sz w:val="32"/>
          <w:szCs w:val="32"/>
        </w:rPr>
        <w:t>，</w:t>
      </w:r>
      <w:r>
        <w:rPr>
          <w:rFonts w:hint="eastAsia" w:eastAsia="仿宋_GB2312"/>
          <w:kern w:val="0"/>
          <w:sz w:val="32"/>
          <w:szCs w:val="32"/>
          <w:lang w:val="en-US" w:eastAsia="zh-CN"/>
        </w:rPr>
        <w:t>排名不分先后，全体成员*0.6，若分核心成员*0.8，(人员不超过总人数的20%)，其他非核心成员*0.5</w:t>
      </w:r>
      <w:r>
        <w:rPr>
          <w:rFonts w:eastAsia="仿宋_GB2312"/>
          <w:kern w:val="0"/>
          <w:sz w:val="32"/>
          <w:szCs w:val="32"/>
        </w:rPr>
        <w:t>；（3）该类荣誉计分范围是参加各类文体竞赛、学术竞赛、技能竞赛之外获得的荣誉；（4）经学校推荐后未经再次评选或差额淘汰而直接获得的更高层次荣誉，按校级荣誉计分；（5）学生干部考核情况“优秀”不列入本项计分；（6）各类专项奖学金不作参评。</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（五）</w:t>
      </w:r>
      <w:r>
        <w:rPr>
          <w:rFonts w:hint="eastAsia" w:eastAsia="仿宋_GB2312"/>
          <w:kern w:val="0"/>
          <w:sz w:val="32"/>
          <w:szCs w:val="32"/>
        </w:rPr>
        <w:t>学术交流</w:t>
      </w:r>
    </w:p>
    <w:p>
      <w:pPr>
        <w:autoSpaceDE w:val="0"/>
        <w:autoSpaceDN w:val="0"/>
        <w:adjustRightInd w:val="0"/>
        <w:spacing w:line="360" w:lineRule="auto"/>
        <w:ind w:firstLine="640" w:firstLineChars="200"/>
        <w:rPr>
          <w:rFonts w:eastAsia="仿宋_GB2312"/>
          <w:kern w:val="0"/>
          <w:sz w:val="32"/>
          <w:szCs w:val="32"/>
        </w:rPr>
      </w:pPr>
      <w:r>
        <w:rPr>
          <w:rFonts w:hint="eastAsia" w:eastAsia="仿宋_GB2312"/>
          <w:kern w:val="0"/>
          <w:sz w:val="32"/>
          <w:szCs w:val="32"/>
        </w:rPr>
        <w:t>1</w:t>
      </w:r>
      <w:r>
        <w:rPr>
          <w:rFonts w:eastAsia="仿宋_GB2312"/>
          <w:kern w:val="0"/>
          <w:sz w:val="32"/>
          <w:szCs w:val="32"/>
        </w:rPr>
        <w:t>. 国际交流计分标准</w:t>
      </w:r>
      <w:r>
        <w:rPr>
          <w:rFonts w:hint="eastAsia" w:eastAsia="仿宋_GB2312"/>
          <w:kern w:val="0"/>
          <w:sz w:val="32"/>
          <w:szCs w:val="32"/>
        </w:rPr>
        <w:t>。</w:t>
      </w:r>
      <w:r>
        <w:rPr>
          <w:rFonts w:eastAsia="仿宋_GB2312"/>
          <w:kern w:val="0"/>
          <w:sz w:val="32"/>
          <w:szCs w:val="32"/>
        </w:rPr>
        <w:t>在测评学年内研究生参加境外学习交流单期连续超过90天，凭交流活动组织单位或部门开具的证明予以计分，每期计30分，计分不累计。</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 xml:space="preserve">2. </w:t>
      </w:r>
      <w:r>
        <w:rPr>
          <w:rFonts w:hint="eastAsia" w:eastAsia="仿宋_GB2312"/>
          <w:kern w:val="0"/>
          <w:sz w:val="32"/>
          <w:szCs w:val="32"/>
        </w:rPr>
        <w:t>口头报告计分标准。</w:t>
      </w:r>
      <w:r>
        <w:rPr>
          <w:rFonts w:eastAsia="仿宋_GB2312"/>
          <w:kern w:val="0"/>
          <w:sz w:val="32"/>
          <w:szCs w:val="32"/>
        </w:rPr>
        <w:t>在测评学年内研究生参加</w:t>
      </w:r>
      <w:r>
        <w:rPr>
          <w:rFonts w:hint="eastAsia" w:eastAsia="仿宋_GB2312"/>
          <w:kern w:val="0"/>
          <w:sz w:val="32"/>
          <w:szCs w:val="32"/>
        </w:rPr>
        <w:t>内</w:t>
      </w:r>
      <w:r>
        <w:rPr>
          <w:rFonts w:eastAsia="仿宋_GB2312"/>
          <w:kern w:val="0"/>
          <w:sz w:val="32"/>
          <w:szCs w:val="32"/>
        </w:rPr>
        <w:t>境外</w:t>
      </w:r>
      <w:r>
        <w:rPr>
          <w:rFonts w:hint="eastAsia" w:eastAsia="仿宋_GB2312"/>
          <w:kern w:val="0"/>
          <w:sz w:val="32"/>
          <w:szCs w:val="32"/>
        </w:rPr>
        <w:t>学术会议，并在会议上做口头报告的，提交相关证明材料，计</w:t>
      </w:r>
      <w:r>
        <w:rPr>
          <w:rFonts w:eastAsia="仿宋_GB2312"/>
          <w:kern w:val="0"/>
          <w:sz w:val="32"/>
          <w:szCs w:val="32"/>
        </w:rPr>
        <w:t>3.5</w:t>
      </w:r>
      <w:r>
        <w:rPr>
          <w:rFonts w:hint="eastAsia" w:eastAsia="仿宋_GB2312"/>
          <w:kern w:val="0"/>
          <w:sz w:val="32"/>
          <w:szCs w:val="32"/>
        </w:rPr>
        <w:t>分。证明材料包括：（1）纸质情况简要说明，包含会议时间、会议地点、口头报告标题、口头报告时长；（2）做口头报告是的人物照片，需将会场场景涵盖。</w:t>
      </w:r>
    </w:p>
    <w:p>
      <w:pPr>
        <w:autoSpaceDE w:val="0"/>
        <w:autoSpaceDN w:val="0"/>
        <w:adjustRightInd w:val="0"/>
        <w:spacing w:line="360" w:lineRule="auto"/>
        <w:ind w:firstLine="640" w:firstLineChars="200"/>
        <w:rPr>
          <w:rFonts w:hint="eastAsia" w:eastAsia="仿宋_GB2312"/>
          <w:kern w:val="0"/>
          <w:sz w:val="32"/>
          <w:szCs w:val="32"/>
        </w:rPr>
      </w:pPr>
      <w:r>
        <w:rPr>
          <w:rFonts w:hint="eastAsia" w:eastAsia="仿宋_GB2312"/>
          <w:kern w:val="0"/>
          <w:sz w:val="32"/>
          <w:szCs w:val="32"/>
        </w:rPr>
        <w:t>3</w:t>
      </w:r>
      <w:r>
        <w:rPr>
          <w:rFonts w:eastAsia="仿宋_GB2312"/>
          <w:kern w:val="0"/>
          <w:sz w:val="32"/>
          <w:szCs w:val="32"/>
        </w:rPr>
        <w:t xml:space="preserve">. </w:t>
      </w:r>
      <w:r>
        <w:rPr>
          <w:rFonts w:hint="eastAsia" w:eastAsia="仿宋_GB2312"/>
          <w:kern w:val="0"/>
          <w:sz w:val="32"/>
          <w:szCs w:val="32"/>
        </w:rPr>
        <w:t>会议论文计分标准。</w:t>
      </w:r>
      <w:r>
        <w:rPr>
          <w:rFonts w:eastAsia="仿宋_GB2312"/>
          <w:kern w:val="0"/>
          <w:sz w:val="32"/>
          <w:szCs w:val="32"/>
        </w:rPr>
        <w:t>在测评学年内研究生参加</w:t>
      </w:r>
      <w:r>
        <w:rPr>
          <w:rFonts w:hint="eastAsia" w:eastAsia="仿宋_GB2312"/>
          <w:kern w:val="0"/>
          <w:sz w:val="32"/>
          <w:szCs w:val="32"/>
        </w:rPr>
        <w:t>内</w:t>
      </w:r>
      <w:r>
        <w:rPr>
          <w:rFonts w:eastAsia="仿宋_GB2312"/>
          <w:kern w:val="0"/>
          <w:sz w:val="32"/>
          <w:szCs w:val="32"/>
        </w:rPr>
        <w:t>境外</w:t>
      </w:r>
      <w:r>
        <w:rPr>
          <w:rFonts w:hint="eastAsia" w:eastAsia="仿宋_GB2312"/>
          <w:kern w:val="0"/>
          <w:sz w:val="32"/>
          <w:szCs w:val="32"/>
        </w:rPr>
        <w:t>学术会议，并发表会议论文的，提交正式会议出版物作为证明材料，计</w:t>
      </w:r>
      <w:r>
        <w:rPr>
          <w:rFonts w:eastAsia="仿宋_GB2312"/>
          <w:kern w:val="0"/>
          <w:sz w:val="32"/>
          <w:szCs w:val="32"/>
        </w:rPr>
        <w:t>9</w:t>
      </w:r>
      <w:r>
        <w:rPr>
          <w:rFonts w:hint="eastAsia" w:eastAsia="仿宋_GB2312"/>
          <w:kern w:val="0"/>
          <w:sz w:val="32"/>
          <w:szCs w:val="32"/>
        </w:rPr>
        <w:t>分。</w:t>
      </w:r>
      <w:r>
        <w:rPr>
          <w:rFonts w:eastAsia="仿宋_GB2312"/>
          <w:kern w:val="0"/>
          <w:sz w:val="32"/>
          <w:szCs w:val="32"/>
        </w:rPr>
        <w:t>若为多人共同</w:t>
      </w:r>
      <w:r>
        <w:rPr>
          <w:rFonts w:hint="eastAsia" w:eastAsia="仿宋_GB2312"/>
          <w:kern w:val="0"/>
          <w:sz w:val="32"/>
          <w:szCs w:val="32"/>
        </w:rPr>
        <w:t>发表</w:t>
      </w:r>
      <w:r>
        <w:rPr>
          <w:rFonts w:eastAsia="仿宋_GB2312"/>
          <w:kern w:val="0"/>
          <w:sz w:val="32"/>
          <w:szCs w:val="32"/>
        </w:rPr>
        <w:t>，则有多人平均分配相应分值。</w:t>
      </w:r>
      <w:r>
        <w:rPr>
          <w:rFonts w:hint="eastAsia" w:eastAsia="仿宋_GB2312"/>
          <w:kern w:val="0"/>
          <w:sz w:val="32"/>
          <w:szCs w:val="32"/>
        </w:rPr>
        <w:t>会议摘要不计分。</w:t>
      </w:r>
    </w:p>
    <w:p>
      <w:pPr>
        <w:autoSpaceDE w:val="0"/>
        <w:autoSpaceDN w:val="0"/>
        <w:adjustRightInd w:val="0"/>
        <w:spacing w:line="360" w:lineRule="auto"/>
        <w:ind w:firstLine="643" w:firstLineChars="200"/>
        <w:rPr>
          <w:rFonts w:eastAsia="仿宋_GB2312"/>
          <w:b/>
          <w:kern w:val="0"/>
          <w:sz w:val="32"/>
          <w:szCs w:val="32"/>
        </w:rPr>
      </w:pPr>
    </w:p>
    <w:p>
      <w:pPr>
        <w:pStyle w:val="6"/>
        <w:widowControl w:val="0"/>
        <w:spacing w:before="0" w:beforeAutospacing="0" w:after="0" w:afterAutospacing="0" w:line="360" w:lineRule="auto"/>
        <w:jc w:val="center"/>
        <w:rPr>
          <w:rFonts w:ascii="Times New Roman" w:hAnsi="Times New Roman" w:eastAsia="黑体"/>
          <w:sz w:val="32"/>
          <w:szCs w:val="32"/>
        </w:rPr>
      </w:pPr>
      <w:r>
        <w:rPr>
          <w:rFonts w:ascii="Times New Roman" w:hAnsi="Times New Roman" w:eastAsia="黑体"/>
          <w:sz w:val="32"/>
          <w:szCs w:val="32"/>
        </w:rPr>
        <w:t>第七章 创新模块</w:t>
      </w:r>
    </w:p>
    <w:p>
      <w:pPr>
        <w:autoSpaceDE w:val="0"/>
        <w:autoSpaceDN w:val="0"/>
        <w:adjustRightInd w:val="0"/>
        <w:spacing w:line="360" w:lineRule="auto"/>
        <w:ind w:firstLine="643" w:firstLineChars="200"/>
        <w:rPr>
          <w:rFonts w:eastAsia="仿宋_GB2312"/>
          <w:kern w:val="0"/>
          <w:sz w:val="32"/>
          <w:szCs w:val="32"/>
        </w:rPr>
      </w:pPr>
      <w:r>
        <w:rPr>
          <w:rFonts w:eastAsia="仿宋_GB2312"/>
          <w:b/>
          <w:kern w:val="0"/>
          <w:sz w:val="32"/>
          <w:szCs w:val="32"/>
        </w:rPr>
        <w:t xml:space="preserve">第十三条  </w:t>
      </w:r>
      <w:r>
        <w:rPr>
          <w:rFonts w:eastAsia="仿宋_GB2312"/>
          <w:kern w:val="0"/>
          <w:sz w:val="32"/>
          <w:szCs w:val="32"/>
        </w:rPr>
        <w:t>创新模块主要考察研究生在学术研究和创新实践方面取得的成果（合称“科研成果”），参考</w:t>
      </w:r>
      <w:r>
        <w:rPr>
          <w:rFonts w:ascii="Times New Roman" w:hAnsi="Times New Roman" w:eastAsia="仿宋_GB2312" w:cs="Times New Roman"/>
          <w:color w:val="auto"/>
          <w:kern w:val="0"/>
          <w:sz w:val="32"/>
          <w:szCs w:val="32"/>
        </w:rPr>
        <w:t>《</w:t>
      </w:r>
      <w:r>
        <w:rPr>
          <w:rFonts w:hint="eastAsia" w:ascii="仿宋" w:hAnsi="仿宋" w:eastAsia="仿宋" w:cs="宋体"/>
          <w:color w:val="auto"/>
          <w:sz w:val="32"/>
          <w:szCs w:val="32"/>
        </w:rPr>
        <w:t>浙江工商大学科研工作评价实施办法（试行）》（浙商大科〔2023〕75 号</w:t>
      </w:r>
      <w:r>
        <w:rPr>
          <w:rFonts w:hint="eastAsia" w:ascii="微软雅黑" w:hAnsi="微软雅黑" w:eastAsia="微软雅黑" w:cs="微软雅黑"/>
          <w:i w:val="0"/>
          <w:iCs w:val="0"/>
          <w:caps w:val="0"/>
          <w:color w:val="auto"/>
          <w:spacing w:val="0"/>
          <w:sz w:val="27"/>
          <w:szCs w:val="27"/>
          <w:shd w:val="clear" w:color="auto" w:fill="FFFFFF"/>
        </w:rPr>
        <w:t>）</w:t>
      </w:r>
      <w:r>
        <w:rPr>
          <w:rFonts w:eastAsia="仿宋_GB2312"/>
          <w:kern w:val="0"/>
          <w:sz w:val="32"/>
          <w:szCs w:val="32"/>
        </w:rPr>
        <w:t>的标准，按相应分值的20倍计分。</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（一）学术研究成果及其计分标准</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学术研究成果主要包括研究生发表学术论文、出版专著、获得专利授权，主持或参与重要科研项目情况。</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（二）创新实践成果及其计分标准</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研究生的创新实践成果是指研究生在全国大学生</w:t>
      </w:r>
      <w:r>
        <w:rPr>
          <w:rFonts w:hint="eastAsia" w:eastAsia="仿宋_GB2312"/>
          <w:kern w:val="0"/>
          <w:sz w:val="32"/>
          <w:szCs w:val="32"/>
          <w:lang w:val="en-US" w:eastAsia="zh-CN"/>
        </w:rPr>
        <w:t>大小</w:t>
      </w:r>
      <w:r>
        <w:rPr>
          <w:rFonts w:eastAsia="仿宋_GB2312"/>
          <w:kern w:val="0"/>
          <w:sz w:val="32"/>
          <w:szCs w:val="32"/>
        </w:rPr>
        <w:t>“挑战杯”学术科技作品竞赛、“互联网+”创新创业大赛、“全国研究生创新实践系列活动”及其他被教育部学科评估指标体系认可的竞赛中的获奖情况。基础赋分见下表：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12"/>
        <w:gridCol w:w="945"/>
        <w:gridCol w:w="885"/>
        <w:gridCol w:w="855"/>
        <w:gridCol w:w="930"/>
        <w:gridCol w:w="780"/>
        <w:gridCol w:w="721"/>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529" w:type="dxa"/>
            <w:gridSpan w:val="2"/>
            <w:noWrap w:val="0"/>
            <w:vAlign w:val="top"/>
          </w:tcPr>
          <w:p>
            <w:pPr>
              <w:autoSpaceDE w:val="0"/>
              <w:autoSpaceDN w:val="0"/>
              <w:adjustRightInd w:val="0"/>
              <w:spacing w:line="360" w:lineRule="auto"/>
              <w:rPr>
                <w:rFonts w:hint="eastAsia" w:eastAsia="仿宋_GB2312"/>
                <w:kern w:val="0"/>
                <w:szCs w:val="21"/>
              </w:rPr>
            </w:pPr>
            <w:r>
              <w:rPr>
                <w:sz w:val="22"/>
              </w:rPr>
              <mc:AlternateContent>
                <mc:Choice Requires="wps">
                  <w:drawing>
                    <wp:anchor distT="0" distB="0" distL="114300" distR="114300" simplePos="0" relativeHeight="251664384" behindDoc="0" locked="0" layoutInCell="1" allowOverlap="1">
                      <wp:simplePos x="0" y="0"/>
                      <wp:positionH relativeFrom="column">
                        <wp:posOffset>-121285</wp:posOffset>
                      </wp:positionH>
                      <wp:positionV relativeFrom="paragraph">
                        <wp:posOffset>399415</wp:posOffset>
                      </wp:positionV>
                      <wp:extent cx="431165" cy="375285"/>
                      <wp:effectExtent l="0" t="0" r="0" b="0"/>
                      <wp:wrapNone/>
                      <wp:docPr id="9" name="文本框 9"/>
                      <wp:cNvGraphicFramePr/>
                      <a:graphic xmlns:a="http://schemas.openxmlformats.org/drawingml/2006/main">
                        <a:graphicData uri="http://schemas.microsoft.com/office/word/2010/wordprocessingShape">
                          <wps:wsp>
                            <wps:cNvSpPr txBox="1"/>
                            <wps:spPr>
                              <a:xfrm>
                                <a:off x="0" y="0"/>
                                <a:ext cx="431165" cy="375285"/>
                              </a:xfrm>
                              <a:prstGeom prst="rect">
                                <a:avLst/>
                              </a:prstGeom>
                              <a:noFill/>
                              <a:ln>
                                <a:noFill/>
                              </a:ln>
                            </wps:spPr>
                            <wps:txbx>
                              <w:txbxContent>
                                <w:p>
                                  <w:pPr>
                                    <w:spacing w:line="200" w:lineRule="exact"/>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参赛</w:t>
                                  </w:r>
                                </w:p>
                                <w:p>
                                  <w:pPr>
                                    <w:spacing w:line="200" w:lineRule="exac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级别</w:t>
                                  </w:r>
                                </w:p>
                              </w:txbxContent>
                            </wps:txbx>
                            <wps:bodyPr upright="1"/>
                          </wps:wsp>
                        </a:graphicData>
                      </a:graphic>
                    </wp:anchor>
                  </w:drawing>
                </mc:Choice>
                <mc:Fallback>
                  <w:pict>
                    <v:shape id="_x0000_s1026" o:spid="_x0000_s1026" o:spt="202" type="#_x0000_t202" style="position:absolute;left:0pt;margin-left:-9.55pt;margin-top:31.45pt;height:29.55pt;width:33.95pt;z-index:251664384;mso-width-relative:page;mso-height-relative:page;" filled="f" stroked="f" coordsize="21600,21600" o:gfxdata="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kXTS51gAA&#10;AAkBAAAPAAAAAAAAAAEAIAAAACIAAABkcnMvZG93bnJldi54bWxQSwECFAAUAAAACACHTuJA8mXG&#10;Z64BAABNAwAADgAAAAAAAAABACAAAAAlAQAAZHJzL2Uyb0RvYy54bWxQSwUGAAAAAAYABgBZAQAA&#10;RQUAAAAA&#10;">
                      <v:fill on="f" focussize="0,0"/>
                      <v:stroke on="f"/>
                      <v:imagedata o:title=""/>
                      <o:lock v:ext="edit" aspectratio="f"/>
                      <v:textbox>
                        <w:txbxContent>
                          <w:p>
                            <w:pPr>
                              <w:spacing w:line="200" w:lineRule="exact"/>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参赛</w:t>
                            </w:r>
                          </w:p>
                          <w:p>
                            <w:pPr>
                              <w:spacing w:line="200" w:lineRule="exac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级别</w:t>
                            </w:r>
                          </w:p>
                        </w:txbxContent>
                      </v:textbox>
                    </v:shape>
                  </w:pict>
                </mc:Fallback>
              </mc:AlternateContent>
            </w:r>
            <w:r>
              <w:rPr>
                <w:rFonts w:hint="eastAsia" w:eastAsia="仿宋_GB2312"/>
                <w:kern w:val="0"/>
                <w:szCs w:val="21"/>
              </w:rPr>
              <mc:AlternateContent>
                <mc:Choice Requires="wps">
                  <w:drawing>
                    <wp:anchor distT="0" distB="0" distL="114300" distR="114300" simplePos="0" relativeHeight="251669504" behindDoc="0" locked="0" layoutInCell="1" allowOverlap="1">
                      <wp:simplePos x="0" y="0"/>
                      <wp:positionH relativeFrom="column">
                        <wp:posOffset>-59690</wp:posOffset>
                      </wp:positionH>
                      <wp:positionV relativeFrom="paragraph">
                        <wp:posOffset>3810</wp:posOffset>
                      </wp:positionV>
                      <wp:extent cx="1504315" cy="724535"/>
                      <wp:effectExtent l="1905" t="4445" r="17780" b="13970"/>
                      <wp:wrapNone/>
                      <wp:docPr id="10" name="自选图形 10"/>
                      <wp:cNvGraphicFramePr/>
                      <a:graphic xmlns:a="http://schemas.openxmlformats.org/drawingml/2006/main">
                        <a:graphicData uri="http://schemas.microsoft.com/office/word/2010/wordprocessingShape">
                          <wps:wsp>
                            <wps:cNvCnPr/>
                            <wps:spPr>
                              <a:xfrm>
                                <a:off x="0" y="0"/>
                                <a:ext cx="1504315" cy="7245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4.7pt;margin-top:0.3pt;height:57.05pt;width:118.45pt;z-index:251669504;mso-width-relative:page;mso-height-relative:page;" filled="f" stroked="t" coordsize="21600,21600" o:gfxdata="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GzyUD1gAAAAcBAAAPAAAAAAAAAAEAIAAAACIAAABkcnMvZG93bnJldi54bWxQ&#10;SwECFAAUAAAACACHTuJA9YMtUPkBAADqAwAADgAAAAAAAAABACAAAAAlAQAAZHJzL2Uyb0RvYy54&#10;bWxQSwUGAAAAAAYABgBZAQAAkAUAAAAA&#10;">
                      <v:fill on="f" focussize="0,0"/>
                      <v:stroke color="#000000" joinstyle="round"/>
                      <v:imagedata o:title=""/>
                      <o:lock v:ext="edit" aspectratio="f"/>
                    </v:shape>
                  </w:pict>
                </mc:Fallback>
              </mc:AlternateContent>
            </w:r>
            <w:r>
              <w:rPr>
                <w:color w:val="FF0000"/>
                <w:sz w:val="22"/>
              </w:rPr>
              <mc:AlternateContent>
                <mc:Choice Requires="wps">
                  <w:drawing>
                    <wp:anchor distT="0" distB="0" distL="114300" distR="114300" simplePos="0" relativeHeight="251668480" behindDoc="0" locked="0" layoutInCell="1" allowOverlap="1">
                      <wp:simplePos x="0" y="0"/>
                      <wp:positionH relativeFrom="column">
                        <wp:posOffset>-69215</wp:posOffset>
                      </wp:positionH>
                      <wp:positionV relativeFrom="paragraph">
                        <wp:posOffset>3810</wp:posOffset>
                      </wp:positionV>
                      <wp:extent cx="504190" cy="721360"/>
                      <wp:effectExtent l="3810" t="2540" r="6350" b="19050"/>
                      <wp:wrapNone/>
                      <wp:docPr id="11" name="自选图形 11"/>
                      <wp:cNvGraphicFramePr/>
                      <a:graphic xmlns:a="http://schemas.openxmlformats.org/drawingml/2006/main">
                        <a:graphicData uri="http://schemas.microsoft.com/office/word/2010/wordprocessingShape">
                          <wps:wsp>
                            <wps:cNvCnPr/>
                            <wps:spPr>
                              <a:xfrm>
                                <a:off x="0" y="0"/>
                                <a:ext cx="504190" cy="7213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5.45pt;margin-top:0.3pt;height:56.8pt;width:39.7pt;z-index:251668480;mso-width-relative:page;mso-height-relative:page;" filled="f" stroked="t" coordsize="21600,21600" o:gfxdata="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cxCxtUAAAAHAQAADwAAAAAAAAABACAAAAAiAAAAZHJzL2Rvd25yZXYueG1s&#10;UEsBAhQAFAAAAAgAh07iQJcz1Sf7AQAA6QMAAA4AAAAAAAAAAQAgAAAAJAEAAGRycy9lMm9Eb2Mu&#10;eG1sUEsFBgAAAAAGAAYAWQEAAJEFAAAAAA==&#10;">
                      <v:fill on="f" focussize="0,0"/>
                      <v:stroke color="#000000" joinstyle="round"/>
                      <v:imagedata o:title=""/>
                      <o:lock v:ext="edit" aspectratio="f"/>
                    </v:shape>
                  </w:pict>
                </mc:Fallback>
              </mc:AlternateContent>
            </w:r>
            <w:r>
              <w:rPr>
                <w:color w:val="FF0000"/>
                <w:sz w:val="22"/>
              </w:rPr>
              <mc:AlternateContent>
                <mc:Choice Requires="wps">
                  <w:drawing>
                    <wp:anchor distT="0" distB="0" distL="114300" distR="114300" simplePos="0" relativeHeight="251663360" behindDoc="0" locked="0" layoutInCell="1" allowOverlap="1">
                      <wp:simplePos x="0" y="0"/>
                      <wp:positionH relativeFrom="column">
                        <wp:posOffset>331470</wp:posOffset>
                      </wp:positionH>
                      <wp:positionV relativeFrom="paragraph">
                        <wp:posOffset>380365</wp:posOffset>
                      </wp:positionV>
                      <wp:extent cx="459105" cy="49847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459105" cy="498475"/>
                              </a:xfrm>
                              <a:prstGeom prst="rect">
                                <a:avLst/>
                              </a:prstGeom>
                              <a:noFill/>
                              <a:ln>
                                <a:noFill/>
                              </a:ln>
                            </wps:spPr>
                            <wps:txbx>
                              <w:txbxContent>
                                <w:p>
                                  <w:pPr>
                                    <w:spacing w:line="200" w:lineRule="exact"/>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参赛</w:t>
                                  </w:r>
                                </w:p>
                                <w:p>
                                  <w:pPr>
                                    <w:spacing w:line="200" w:lineRule="exact"/>
                                    <w:rPr>
                                      <w:rFonts w:ascii="仿宋_GB2312" w:hAnsi="仿宋_GB2312" w:eastAsia="仿宋_GB2312" w:cs="仿宋_GB2312"/>
                                      <w:b/>
                                      <w:bCs/>
                                      <w:color w:val="FF0000"/>
                                      <w:sz w:val="18"/>
                                      <w:szCs w:val="18"/>
                                    </w:rPr>
                                  </w:pPr>
                                  <w:r>
                                    <w:rPr>
                                      <w:rFonts w:hint="eastAsia" w:ascii="仿宋_GB2312" w:hAnsi="仿宋_GB2312" w:eastAsia="仿宋_GB2312" w:cs="仿宋_GB2312"/>
                                      <w:b/>
                                      <w:bCs/>
                                      <w:sz w:val="18"/>
                                      <w:szCs w:val="18"/>
                                    </w:rPr>
                                    <w:t>项目</w:t>
                                  </w:r>
                                </w:p>
                              </w:txbxContent>
                            </wps:txbx>
                            <wps:bodyPr upright="1"/>
                          </wps:wsp>
                        </a:graphicData>
                      </a:graphic>
                    </wp:anchor>
                  </w:drawing>
                </mc:Choice>
                <mc:Fallback>
                  <w:pict>
                    <v:shape id="_x0000_s1026" o:spid="_x0000_s1026" o:spt="202" type="#_x0000_t202" style="position:absolute;left:0pt;margin-left:26.1pt;margin-top:29.95pt;height:39.25pt;width:36.15pt;z-index:251663360;mso-width-relative:page;mso-height-relative:page;" filled="f" stroked="f" coordsize="21600,21600" o:gfxdata="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ruqj+1wAA&#10;AAkBAAAPAAAAAAAAAAEAIAAAACIAAABkcnMvZG93bnJldi54bWxQSwECFAAUAAAACACHTuJAnAYK&#10;h60BAABPAwAADgAAAAAAAAABACAAAAAmAQAAZHJzL2Uyb0RvYy54bWxQSwUGAAAAAAYABgBZAQAA&#10;RQUAAAAA&#10;">
                      <v:fill on="f" focussize="0,0"/>
                      <v:stroke on="f"/>
                      <v:imagedata o:title=""/>
                      <o:lock v:ext="edit" aspectratio="f"/>
                      <v:textbox>
                        <w:txbxContent>
                          <w:p>
                            <w:pPr>
                              <w:spacing w:line="200" w:lineRule="exact"/>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参赛</w:t>
                            </w:r>
                          </w:p>
                          <w:p>
                            <w:pPr>
                              <w:spacing w:line="200" w:lineRule="exact"/>
                              <w:rPr>
                                <w:rFonts w:ascii="仿宋_GB2312" w:hAnsi="仿宋_GB2312" w:eastAsia="仿宋_GB2312" w:cs="仿宋_GB2312"/>
                                <w:b/>
                                <w:bCs/>
                                <w:color w:val="FF0000"/>
                                <w:sz w:val="18"/>
                                <w:szCs w:val="18"/>
                              </w:rPr>
                            </w:pPr>
                            <w:r>
                              <w:rPr>
                                <w:rFonts w:hint="eastAsia" w:ascii="仿宋_GB2312" w:hAnsi="仿宋_GB2312" w:eastAsia="仿宋_GB2312" w:cs="仿宋_GB2312"/>
                                <w:b/>
                                <w:bCs/>
                                <w:sz w:val="18"/>
                                <w:szCs w:val="18"/>
                              </w:rPr>
                              <w:t>项目</w:t>
                            </w:r>
                          </w:p>
                        </w:txbxContent>
                      </v:textbox>
                    </v:shape>
                  </w:pict>
                </mc:Fallback>
              </mc:AlternateContent>
            </w:r>
            <w:r>
              <w:rPr>
                <w:color w:val="FF0000"/>
                <w:sz w:val="22"/>
              </w:rPr>
              <mc:AlternateContent>
                <mc:Choice Requires="wps">
                  <w:drawing>
                    <wp:anchor distT="0" distB="0" distL="114300" distR="114300" simplePos="0" relativeHeight="251662336" behindDoc="0" locked="0" layoutInCell="1" allowOverlap="1">
                      <wp:simplePos x="0" y="0"/>
                      <wp:positionH relativeFrom="column">
                        <wp:posOffset>434975</wp:posOffset>
                      </wp:positionH>
                      <wp:positionV relativeFrom="paragraph">
                        <wp:posOffset>30480</wp:posOffset>
                      </wp:positionV>
                      <wp:extent cx="698500" cy="27813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698500" cy="278130"/>
                              </a:xfrm>
                              <a:prstGeom prst="rect">
                                <a:avLst/>
                              </a:prstGeom>
                              <a:noFill/>
                              <a:ln>
                                <a:noFill/>
                              </a:ln>
                            </wps:spPr>
                            <wps:txbx>
                              <w:txbxContent>
                                <w:p>
                                  <w:pP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获奖等级</w:t>
                                  </w:r>
                                </w:p>
                              </w:txbxContent>
                            </wps:txbx>
                            <wps:bodyPr upright="1"/>
                          </wps:wsp>
                        </a:graphicData>
                      </a:graphic>
                    </wp:anchor>
                  </w:drawing>
                </mc:Choice>
                <mc:Fallback>
                  <w:pict>
                    <v:shape id="_x0000_s1026" o:spid="_x0000_s1026" o:spt="202" type="#_x0000_t202" style="position:absolute;left:0pt;margin-left:34.25pt;margin-top:2.4pt;height:21.9pt;width:55pt;z-index:251662336;mso-width-relative:page;mso-height-relative:page;" filled="f" stroked="f" coordsize="21600,21600" o:gfxdata="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H0KH9IAAAAHAQAA&#10;DwAAAAAAAAABACAAAAAiAAAAZHJzL2Rvd25yZXYueG1sUEsBAhQAFAAAAAgAh07iQEEhgwqtAQAA&#10;TwMAAA4AAAAAAAAAAQAgAAAAIQEAAGRycy9lMm9Eb2MueG1sUEsFBgAAAAAGAAYAWQEAAEAFAAAA&#10;AA==&#10;">
                      <v:fill on="f" focussize="0,0"/>
                      <v:stroke on="f"/>
                      <v:imagedata o:title=""/>
                      <o:lock v:ext="edit" aspectratio="f"/>
                      <v:textbox>
                        <w:txbxContent>
                          <w:p>
                            <w:pP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获奖等级</w:t>
                            </w:r>
                          </w:p>
                        </w:txbxContent>
                      </v:textbox>
                    </v:shape>
                  </w:pict>
                </mc:Fallback>
              </mc:AlternateContent>
            </w:r>
          </w:p>
        </w:tc>
        <w:tc>
          <w:tcPr>
            <w:tcW w:w="945" w:type="dxa"/>
            <w:noWrap w:val="0"/>
            <w:vAlign w:val="center"/>
          </w:tcPr>
          <w:p>
            <w:pPr>
              <w:autoSpaceDE w:val="0"/>
              <w:autoSpaceDN w:val="0"/>
              <w:adjustRightInd w:val="0"/>
              <w:spacing w:line="360" w:lineRule="auto"/>
              <w:jc w:val="center"/>
              <w:rPr>
                <w:rFonts w:eastAsia="仿宋_GB2312"/>
                <w:b/>
                <w:bCs/>
                <w:kern w:val="0"/>
                <w:szCs w:val="21"/>
              </w:rPr>
            </w:pPr>
            <w:r>
              <w:rPr>
                <w:rFonts w:eastAsia="仿宋_GB2312"/>
                <w:b/>
                <w:bCs/>
                <w:kern w:val="0"/>
                <w:szCs w:val="21"/>
              </w:rPr>
              <w:t>特等奖</w:t>
            </w:r>
          </w:p>
        </w:tc>
        <w:tc>
          <w:tcPr>
            <w:tcW w:w="885" w:type="dxa"/>
            <w:noWrap w:val="0"/>
            <w:vAlign w:val="center"/>
          </w:tcPr>
          <w:p>
            <w:pPr>
              <w:autoSpaceDE w:val="0"/>
              <w:autoSpaceDN w:val="0"/>
              <w:adjustRightInd w:val="0"/>
              <w:spacing w:line="360" w:lineRule="auto"/>
              <w:jc w:val="center"/>
              <w:rPr>
                <w:rFonts w:eastAsia="仿宋_GB2312"/>
                <w:b/>
                <w:bCs/>
                <w:kern w:val="0"/>
                <w:szCs w:val="21"/>
              </w:rPr>
            </w:pPr>
            <w:r>
              <w:rPr>
                <w:rFonts w:eastAsia="仿宋_GB2312"/>
                <w:b/>
                <w:bCs/>
                <w:kern w:val="0"/>
                <w:szCs w:val="21"/>
              </w:rPr>
              <w:t>一等奖</w:t>
            </w:r>
          </w:p>
        </w:tc>
        <w:tc>
          <w:tcPr>
            <w:tcW w:w="855" w:type="dxa"/>
            <w:noWrap w:val="0"/>
            <w:vAlign w:val="center"/>
          </w:tcPr>
          <w:p>
            <w:pPr>
              <w:autoSpaceDE w:val="0"/>
              <w:autoSpaceDN w:val="0"/>
              <w:adjustRightInd w:val="0"/>
              <w:spacing w:line="360" w:lineRule="auto"/>
              <w:jc w:val="center"/>
              <w:rPr>
                <w:rFonts w:eastAsia="仿宋_GB2312"/>
                <w:b/>
                <w:bCs/>
                <w:kern w:val="0"/>
                <w:szCs w:val="21"/>
              </w:rPr>
            </w:pPr>
            <w:r>
              <w:rPr>
                <w:rFonts w:eastAsia="仿宋_GB2312"/>
                <w:b/>
                <w:bCs/>
                <w:kern w:val="0"/>
                <w:szCs w:val="21"/>
              </w:rPr>
              <w:t>二等奖</w:t>
            </w:r>
          </w:p>
        </w:tc>
        <w:tc>
          <w:tcPr>
            <w:tcW w:w="930" w:type="dxa"/>
            <w:noWrap w:val="0"/>
            <w:vAlign w:val="center"/>
          </w:tcPr>
          <w:p>
            <w:pPr>
              <w:autoSpaceDE w:val="0"/>
              <w:autoSpaceDN w:val="0"/>
              <w:adjustRightInd w:val="0"/>
              <w:spacing w:line="360" w:lineRule="auto"/>
              <w:jc w:val="center"/>
              <w:rPr>
                <w:rFonts w:eastAsia="仿宋_GB2312"/>
                <w:b/>
                <w:bCs/>
                <w:kern w:val="0"/>
                <w:szCs w:val="21"/>
              </w:rPr>
            </w:pPr>
            <w:r>
              <w:rPr>
                <w:rFonts w:eastAsia="仿宋_GB2312"/>
                <w:b/>
                <w:bCs/>
                <w:kern w:val="0"/>
                <w:szCs w:val="21"/>
              </w:rPr>
              <w:t>三等奖</w:t>
            </w:r>
          </w:p>
        </w:tc>
        <w:tc>
          <w:tcPr>
            <w:tcW w:w="780" w:type="dxa"/>
            <w:noWrap w:val="0"/>
            <w:vAlign w:val="center"/>
          </w:tcPr>
          <w:p>
            <w:pPr>
              <w:autoSpaceDE w:val="0"/>
              <w:autoSpaceDN w:val="0"/>
              <w:adjustRightInd w:val="0"/>
              <w:spacing w:line="360" w:lineRule="auto"/>
              <w:jc w:val="center"/>
              <w:rPr>
                <w:rFonts w:eastAsia="仿宋_GB2312"/>
                <w:b/>
                <w:bCs/>
                <w:kern w:val="0"/>
                <w:szCs w:val="21"/>
              </w:rPr>
            </w:pPr>
            <w:r>
              <w:rPr>
                <w:rFonts w:eastAsia="仿宋_GB2312"/>
                <w:b/>
                <w:bCs/>
                <w:kern w:val="0"/>
                <w:szCs w:val="21"/>
              </w:rPr>
              <w:t>金奖</w:t>
            </w:r>
          </w:p>
        </w:tc>
        <w:tc>
          <w:tcPr>
            <w:tcW w:w="721" w:type="dxa"/>
            <w:noWrap w:val="0"/>
            <w:vAlign w:val="center"/>
          </w:tcPr>
          <w:p>
            <w:pPr>
              <w:autoSpaceDE w:val="0"/>
              <w:autoSpaceDN w:val="0"/>
              <w:adjustRightInd w:val="0"/>
              <w:spacing w:line="360" w:lineRule="auto"/>
              <w:jc w:val="center"/>
              <w:rPr>
                <w:rFonts w:eastAsia="仿宋_GB2312"/>
                <w:b/>
                <w:bCs/>
                <w:kern w:val="0"/>
                <w:szCs w:val="21"/>
              </w:rPr>
            </w:pPr>
            <w:r>
              <w:rPr>
                <w:rFonts w:eastAsia="仿宋_GB2312"/>
                <w:b/>
                <w:bCs/>
                <w:kern w:val="0"/>
                <w:szCs w:val="21"/>
              </w:rPr>
              <w:t>银奖</w:t>
            </w:r>
          </w:p>
        </w:tc>
        <w:tc>
          <w:tcPr>
            <w:tcW w:w="877" w:type="dxa"/>
            <w:noWrap w:val="0"/>
            <w:vAlign w:val="center"/>
          </w:tcPr>
          <w:p>
            <w:pPr>
              <w:autoSpaceDE w:val="0"/>
              <w:autoSpaceDN w:val="0"/>
              <w:adjustRightInd w:val="0"/>
              <w:spacing w:line="360" w:lineRule="auto"/>
              <w:jc w:val="center"/>
              <w:rPr>
                <w:rFonts w:eastAsia="仿宋_GB2312"/>
                <w:b/>
                <w:bCs/>
                <w:kern w:val="0"/>
                <w:szCs w:val="21"/>
              </w:rPr>
            </w:pPr>
            <w:r>
              <w:rPr>
                <w:rFonts w:eastAsia="仿宋_GB2312"/>
                <w:b/>
                <w:bCs/>
                <w:kern w:val="0"/>
                <w:szCs w:val="21"/>
              </w:rPr>
              <w:t>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bottom w:val="single" w:color="auto" w:sz="4" w:space="0"/>
            </w:tcBorders>
            <w:noWrap w:val="0"/>
            <w:vAlign w:val="center"/>
          </w:tcPr>
          <w:p>
            <w:pPr>
              <w:autoSpaceDE w:val="0"/>
              <w:autoSpaceDN w:val="0"/>
              <w:adjustRightInd w:val="0"/>
              <w:spacing w:line="360" w:lineRule="auto"/>
              <w:jc w:val="center"/>
              <w:rPr>
                <w:rFonts w:eastAsia="仿宋_GB2312"/>
                <w:kern w:val="0"/>
                <w:szCs w:val="21"/>
              </w:rPr>
            </w:pPr>
            <w:r>
              <w:rPr>
                <w:rFonts w:eastAsia="仿宋_GB2312"/>
                <w:kern w:val="0"/>
                <w:szCs w:val="21"/>
              </w:rPr>
              <w:t>国</w:t>
            </w:r>
          </w:p>
          <w:p>
            <w:pPr>
              <w:autoSpaceDE w:val="0"/>
              <w:autoSpaceDN w:val="0"/>
              <w:adjustRightInd w:val="0"/>
              <w:spacing w:line="360" w:lineRule="auto"/>
              <w:jc w:val="center"/>
              <w:rPr>
                <w:rFonts w:eastAsia="仿宋_GB2312"/>
                <w:kern w:val="0"/>
                <w:szCs w:val="21"/>
              </w:rPr>
            </w:pPr>
            <w:r>
              <w:rPr>
                <w:rFonts w:eastAsia="仿宋_GB2312"/>
                <w:kern w:val="0"/>
                <w:szCs w:val="21"/>
              </w:rPr>
              <w:t>家</w:t>
            </w:r>
          </w:p>
          <w:p>
            <w:pPr>
              <w:autoSpaceDE w:val="0"/>
              <w:autoSpaceDN w:val="0"/>
              <w:adjustRightInd w:val="0"/>
              <w:spacing w:line="360" w:lineRule="auto"/>
              <w:jc w:val="center"/>
              <w:rPr>
                <w:rFonts w:eastAsia="仿宋_GB2312"/>
                <w:kern w:val="0"/>
                <w:szCs w:val="21"/>
              </w:rPr>
            </w:pPr>
            <w:r>
              <w:rPr>
                <w:rFonts w:eastAsia="仿宋_GB2312"/>
                <w:kern w:val="0"/>
                <w:szCs w:val="21"/>
              </w:rPr>
              <w:t>级</w:t>
            </w:r>
          </w:p>
        </w:tc>
        <w:tc>
          <w:tcPr>
            <w:tcW w:w="1712" w:type="dxa"/>
            <w:tcBorders>
              <w:bottom w:val="single" w:color="auto" w:sz="4" w:space="0"/>
            </w:tcBorders>
            <w:noWrap w:val="0"/>
            <w:vAlign w:val="top"/>
          </w:tcPr>
          <w:p>
            <w:pPr>
              <w:autoSpaceDE w:val="0"/>
              <w:autoSpaceDN w:val="0"/>
              <w:adjustRightInd w:val="0"/>
              <w:spacing w:line="360" w:lineRule="auto"/>
              <w:jc w:val="center"/>
              <w:rPr>
                <w:rFonts w:hint="default" w:eastAsia="仿宋_GB2312"/>
                <w:kern w:val="0"/>
                <w:szCs w:val="21"/>
                <w:lang w:val="en-US" w:eastAsia="zh-CN"/>
              </w:rPr>
            </w:pPr>
            <w:r>
              <w:rPr>
                <w:rFonts w:hint="eastAsia" w:eastAsia="仿宋_GB2312"/>
                <w:kern w:val="0"/>
                <w:szCs w:val="21"/>
                <w:lang w:val="en-US" w:eastAsia="zh-CN"/>
              </w:rPr>
              <w:t>大挑</w:t>
            </w:r>
          </w:p>
        </w:tc>
        <w:tc>
          <w:tcPr>
            <w:tcW w:w="945" w:type="dxa"/>
            <w:tcBorders>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96</w:t>
            </w:r>
          </w:p>
        </w:tc>
        <w:tc>
          <w:tcPr>
            <w:tcW w:w="885" w:type="dxa"/>
            <w:tcBorders>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44</w:t>
            </w:r>
          </w:p>
        </w:tc>
        <w:tc>
          <w:tcPr>
            <w:tcW w:w="855" w:type="dxa"/>
            <w:tcBorders>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27</w:t>
            </w:r>
          </w:p>
        </w:tc>
        <w:tc>
          <w:tcPr>
            <w:tcW w:w="930" w:type="dxa"/>
            <w:tcBorders>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21.6</w:t>
            </w:r>
          </w:p>
        </w:tc>
        <w:tc>
          <w:tcPr>
            <w:tcW w:w="780" w:type="dxa"/>
            <w:tcBorders>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721" w:type="dxa"/>
            <w:tcBorders>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877" w:type="dxa"/>
            <w:tcBorders>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bottom w:val="single" w:color="auto" w:sz="4" w:space="0"/>
            </w:tcBorders>
            <w:noWrap w:val="0"/>
            <w:vAlign w:val="top"/>
          </w:tcPr>
          <w:p>
            <w:pPr>
              <w:autoSpaceDE w:val="0"/>
              <w:autoSpaceDN w:val="0"/>
              <w:adjustRightInd w:val="0"/>
              <w:spacing w:line="360" w:lineRule="auto"/>
              <w:rPr>
                <w:rFonts w:eastAsia="仿宋_GB2312"/>
                <w:kern w:val="0"/>
                <w:szCs w:val="21"/>
              </w:rPr>
            </w:pPr>
          </w:p>
        </w:tc>
        <w:tc>
          <w:tcPr>
            <w:tcW w:w="1712"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hint="default" w:eastAsia="仿宋_GB2312"/>
                <w:kern w:val="0"/>
                <w:szCs w:val="21"/>
                <w:lang w:val="en-US" w:eastAsia="zh-CN"/>
              </w:rPr>
            </w:pPr>
            <w:r>
              <w:rPr>
                <w:rFonts w:hint="eastAsia" w:eastAsia="仿宋_GB2312"/>
                <w:kern w:val="0"/>
                <w:szCs w:val="21"/>
                <w:lang w:val="en-US" w:eastAsia="zh-CN"/>
              </w:rPr>
              <w:t>小挑</w:t>
            </w:r>
          </w:p>
        </w:tc>
        <w:tc>
          <w:tcPr>
            <w:tcW w:w="94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88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85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93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78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hint="default" w:eastAsia="仿宋_GB2312"/>
                <w:kern w:val="0"/>
                <w:szCs w:val="21"/>
                <w:lang w:val="en-US" w:eastAsia="zh-CN"/>
              </w:rPr>
            </w:pPr>
            <w:r>
              <w:rPr>
                <w:rFonts w:hint="eastAsia" w:eastAsia="仿宋_GB2312"/>
                <w:kern w:val="0"/>
                <w:szCs w:val="21"/>
                <w:lang w:val="en-US" w:eastAsia="zh-CN"/>
              </w:rPr>
              <w:t>96</w:t>
            </w:r>
          </w:p>
        </w:tc>
        <w:tc>
          <w:tcPr>
            <w:tcW w:w="721"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40</w:t>
            </w:r>
          </w:p>
        </w:tc>
        <w:tc>
          <w:tcPr>
            <w:tcW w:w="877"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bottom w:val="single" w:color="auto" w:sz="4" w:space="0"/>
            </w:tcBorders>
            <w:noWrap w:val="0"/>
            <w:vAlign w:val="top"/>
          </w:tcPr>
          <w:p>
            <w:pPr>
              <w:autoSpaceDE w:val="0"/>
              <w:autoSpaceDN w:val="0"/>
              <w:adjustRightInd w:val="0"/>
              <w:spacing w:line="360" w:lineRule="auto"/>
              <w:rPr>
                <w:rFonts w:eastAsia="仿宋_GB2312"/>
                <w:kern w:val="0"/>
                <w:szCs w:val="21"/>
              </w:rPr>
            </w:pPr>
          </w:p>
        </w:tc>
        <w:tc>
          <w:tcPr>
            <w:tcW w:w="1712"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互联网+</w:t>
            </w:r>
          </w:p>
        </w:tc>
        <w:tc>
          <w:tcPr>
            <w:tcW w:w="94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88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85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93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78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96</w:t>
            </w:r>
          </w:p>
        </w:tc>
        <w:tc>
          <w:tcPr>
            <w:tcW w:w="721"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40</w:t>
            </w:r>
          </w:p>
        </w:tc>
        <w:tc>
          <w:tcPr>
            <w:tcW w:w="877"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bottom w:val="single" w:color="auto" w:sz="4" w:space="0"/>
            </w:tcBorders>
            <w:noWrap w:val="0"/>
            <w:vAlign w:val="top"/>
          </w:tcPr>
          <w:p>
            <w:pPr>
              <w:autoSpaceDE w:val="0"/>
              <w:autoSpaceDN w:val="0"/>
              <w:adjustRightInd w:val="0"/>
              <w:spacing w:line="360" w:lineRule="auto"/>
              <w:rPr>
                <w:rFonts w:eastAsia="仿宋_GB2312"/>
                <w:kern w:val="0"/>
                <w:szCs w:val="21"/>
              </w:rPr>
            </w:pPr>
          </w:p>
        </w:tc>
        <w:tc>
          <w:tcPr>
            <w:tcW w:w="1712"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hint="eastAsia" w:ascii="Times New Roman" w:hAnsi="Times New Roman" w:eastAsia="仿宋_GB2312" w:cs="Times New Roman"/>
                <w:kern w:val="0"/>
                <w:szCs w:val="21"/>
                <w:lang w:val="en-US" w:eastAsia="zh-CN"/>
              </w:rPr>
              <w:t>全国研究生创新实践系列活动</w:t>
            </w:r>
          </w:p>
        </w:tc>
        <w:tc>
          <w:tcPr>
            <w:tcW w:w="94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88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85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93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78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hint="eastAsia" w:eastAsia="仿宋_GB2312"/>
                <w:kern w:val="0"/>
                <w:sz w:val="21"/>
                <w:szCs w:val="21"/>
                <w:lang w:val="en-US" w:eastAsia="zh-CN" w:bidi="ar-SA"/>
              </w:rPr>
            </w:pPr>
            <w:r>
              <w:rPr>
                <w:rFonts w:hint="eastAsia" w:eastAsia="仿宋_GB2312"/>
                <w:kern w:val="0"/>
                <w:szCs w:val="21"/>
                <w:lang w:val="en-US" w:eastAsia="zh-CN"/>
              </w:rPr>
              <w:t>48</w:t>
            </w:r>
          </w:p>
        </w:tc>
        <w:tc>
          <w:tcPr>
            <w:tcW w:w="721"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hint="eastAsia" w:eastAsia="仿宋_GB2312"/>
                <w:kern w:val="0"/>
                <w:sz w:val="21"/>
                <w:szCs w:val="21"/>
                <w:lang w:val="en-US" w:eastAsia="zh-CN" w:bidi="ar-SA"/>
              </w:rPr>
            </w:pPr>
            <w:r>
              <w:rPr>
                <w:rFonts w:hint="eastAsia" w:eastAsia="仿宋_GB2312"/>
                <w:kern w:val="0"/>
                <w:szCs w:val="21"/>
                <w:lang w:val="en-US" w:eastAsia="zh-CN"/>
              </w:rPr>
              <w:t>20</w:t>
            </w:r>
          </w:p>
        </w:tc>
        <w:tc>
          <w:tcPr>
            <w:tcW w:w="877"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hint="eastAsia" w:eastAsia="仿宋_GB2312"/>
                <w:kern w:val="0"/>
                <w:sz w:val="21"/>
                <w:szCs w:val="21"/>
                <w:lang w:val="en-US" w:eastAsia="zh-CN" w:bidi="ar-SA"/>
              </w:rPr>
            </w:pPr>
            <w:r>
              <w:rPr>
                <w:rFonts w:hint="eastAsia" w:eastAsia="仿宋_GB2312"/>
                <w:kern w:val="0"/>
                <w:szCs w:val="21"/>
                <w:lang w:val="en-US"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bottom w:val="single" w:color="auto" w:sz="4" w:space="0"/>
            </w:tcBorders>
            <w:noWrap w:val="0"/>
            <w:vAlign w:val="top"/>
          </w:tcPr>
          <w:p>
            <w:pPr>
              <w:autoSpaceDE w:val="0"/>
              <w:autoSpaceDN w:val="0"/>
              <w:adjustRightInd w:val="0"/>
              <w:spacing w:line="360" w:lineRule="auto"/>
              <w:rPr>
                <w:rFonts w:eastAsia="仿宋_GB2312"/>
                <w:kern w:val="0"/>
                <w:szCs w:val="21"/>
              </w:rPr>
            </w:pPr>
          </w:p>
        </w:tc>
        <w:tc>
          <w:tcPr>
            <w:tcW w:w="1712"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hint="default" w:eastAsia="仿宋_GB2312"/>
                <w:kern w:val="0"/>
                <w:szCs w:val="21"/>
                <w:lang w:val="en-US" w:eastAsia="zh-CN"/>
              </w:rPr>
            </w:pPr>
            <w:r>
              <w:rPr>
                <w:rFonts w:hint="eastAsia" w:eastAsia="仿宋_GB2312"/>
                <w:kern w:val="0"/>
                <w:szCs w:val="21"/>
                <w:lang w:val="en-US" w:eastAsia="zh-CN"/>
              </w:rPr>
              <w:t>其他比赛外的学术竞赛</w:t>
            </w:r>
          </w:p>
        </w:tc>
        <w:tc>
          <w:tcPr>
            <w:tcW w:w="94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88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85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93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78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hint="default" w:eastAsia="仿宋_GB2312"/>
                <w:kern w:val="0"/>
                <w:szCs w:val="21"/>
                <w:lang w:val="en-US" w:eastAsia="zh-CN"/>
              </w:rPr>
            </w:pPr>
            <w:r>
              <w:rPr>
                <w:rFonts w:hint="eastAsia" w:eastAsia="仿宋_GB2312"/>
                <w:kern w:val="0"/>
                <w:szCs w:val="21"/>
                <w:lang w:val="en-US" w:eastAsia="zh-CN"/>
              </w:rPr>
              <w:t>28.8</w:t>
            </w:r>
          </w:p>
        </w:tc>
        <w:tc>
          <w:tcPr>
            <w:tcW w:w="721"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hint="default" w:eastAsia="仿宋_GB2312"/>
                <w:kern w:val="0"/>
                <w:szCs w:val="21"/>
                <w:lang w:val="en-US" w:eastAsia="zh-CN"/>
              </w:rPr>
            </w:pPr>
            <w:r>
              <w:rPr>
                <w:rFonts w:hint="eastAsia" w:eastAsia="仿宋_GB2312"/>
                <w:kern w:val="0"/>
                <w:szCs w:val="21"/>
                <w:lang w:val="en-US" w:eastAsia="zh-CN"/>
              </w:rPr>
              <w:t>12</w:t>
            </w:r>
          </w:p>
        </w:tc>
        <w:tc>
          <w:tcPr>
            <w:tcW w:w="877"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hint="default" w:eastAsia="仿宋_GB2312"/>
                <w:kern w:val="0"/>
                <w:szCs w:val="21"/>
                <w:lang w:val="en-US" w:eastAsia="zh-CN"/>
              </w:rPr>
            </w:pPr>
            <w:r>
              <w:rPr>
                <w:rFonts w:hint="eastAsia" w:eastAsia="仿宋_GB2312"/>
                <w:kern w:val="0"/>
                <w:szCs w:val="21"/>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single" w:color="auto" w:sz="4" w:space="0"/>
              <w:bottom w:val="single" w:color="auto" w:sz="4" w:space="0"/>
            </w:tcBorders>
            <w:noWrap w:val="0"/>
            <w:vAlign w:val="center"/>
          </w:tcPr>
          <w:p>
            <w:pPr>
              <w:autoSpaceDE w:val="0"/>
              <w:autoSpaceDN w:val="0"/>
              <w:adjustRightInd w:val="0"/>
              <w:spacing w:line="360" w:lineRule="auto"/>
              <w:jc w:val="center"/>
              <w:rPr>
                <w:rFonts w:eastAsia="仿宋_GB2312"/>
                <w:kern w:val="0"/>
                <w:szCs w:val="21"/>
              </w:rPr>
            </w:pPr>
            <w:r>
              <w:rPr>
                <w:rFonts w:eastAsia="仿宋_GB2312"/>
                <w:kern w:val="0"/>
                <w:szCs w:val="21"/>
              </w:rPr>
              <w:t>省</w:t>
            </w:r>
          </w:p>
          <w:p>
            <w:pPr>
              <w:autoSpaceDE w:val="0"/>
              <w:autoSpaceDN w:val="0"/>
              <w:adjustRightInd w:val="0"/>
              <w:spacing w:line="360" w:lineRule="auto"/>
              <w:jc w:val="center"/>
              <w:rPr>
                <w:rFonts w:eastAsia="仿宋_GB2312"/>
                <w:kern w:val="0"/>
                <w:szCs w:val="21"/>
              </w:rPr>
            </w:pPr>
            <w:r>
              <w:rPr>
                <w:rFonts w:eastAsia="仿宋_GB2312"/>
                <w:kern w:val="0"/>
                <w:szCs w:val="21"/>
              </w:rPr>
              <w:t>级</w:t>
            </w:r>
          </w:p>
        </w:tc>
        <w:tc>
          <w:tcPr>
            <w:tcW w:w="1712"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hint="eastAsia" w:eastAsia="仿宋_GB2312"/>
                <w:kern w:val="0"/>
                <w:szCs w:val="21"/>
                <w:lang w:val="en-US" w:eastAsia="zh-CN"/>
              </w:rPr>
              <w:t>大挑</w:t>
            </w:r>
          </w:p>
        </w:tc>
        <w:tc>
          <w:tcPr>
            <w:tcW w:w="94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24</w:t>
            </w:r>
          </w:p>
        </w:tc>
        <w:tc>
          <w:tcPr>
            <w:tcW w:w="88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18</w:t>
            </w:r>
          </w:p>
        </w:tc>
        <w:tc>
          <w:tcPr>
            <w:tcW w:w="85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9</w:t>
            </w:r>
          </w:p>
        </w:tc>
        <w:tc>
          <w:tcPr>
            <w:tcW w:w="93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3.6</w:t>
            </w:r>
          </w:p>
        </w:tc>
        <w:tc>
          <w:tcPr>
            <w:tcW w:w="78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721"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877"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bottom w:val="single" w:color="auto" w:sz="4" w:space="0"/>
            </w:tcBorders>
            <w:noWrap w:val="0"/>
            <w:vAlign w:val="top"/>
          </w:tcPr>
          <w:p>
            <w:pPr>
              <w:autoSpaceDE w:val="0"/>
              <w:autoSpaceDN w:val="0"/>
              <w:adjustRightInd w:val="0"/>
              <w:spacing w:line="360" w:lineRule="auto"/>
              <w:rPr>
                <w:rFonts w:eastAsia="仿宋_GB2312"/>
                <w:kern w:val="0"/>
                <w:szCs w:val="21"/>
              </w:rPr>
            </w:pPr>
          </w:p>
        </w:tc>
        <w:tc>
          <w:tcPr>
            <w:tcW w:w="1712"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hint="eastAsia" w:eastAsia="仿宋_GB2312"/>
                <w:kern w:val="0"/>
                <w:szCs w:val="21"/>
                <w:lang w:val="en-US" w:eastAsia="zh-CN"/>
              </w:rPr>
              <w:t>小挑</w:t>
            </w:r>
          </w:p>
        </w:tc>
        <w:tc>
          <w:tcPr>
            <w:tcW w:w="94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88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85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93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78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24</w:t>
            </w:r>
          </w:p>
        </w:tc>
        <w:tc>
          <w:tcPr>
            <w:tcW w:w="721"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18</w:t>
            </w:r>
          </w:p>
        </w:tc>
        <w:tc>
          <w:tcPr>
            <w:tcW w:w="877"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bottom w:val="single" w:color="auto" w:sz="4" w:space="0"/>
            </w:tcBorders>
            <w:noWrap w:val="0"/>
            <w:vAlign w:val="top"/>
          </w:tcPr>
          <w:p>
            <w:pPr>
              <w:autoSpaceDE w:val="0"/>
              <w:autoSpaceDN w:val="0"/>
              <w:adjustRightInd w:val="0"/>
              <w:spacing w:line="360" w:lineRule="auto"/>
              <w:rPr>
                <w:rFonts w:eastAsia="仿宋_GB2312"/>
                <w:kern w:val="0"/>
                <w:szCs w:val="21"/>
              </w:rPr>
            </w:pPr>
          </w:p>
        </w:tc>
        <w:tc>
          <w:tcPr>
            <w:tcW w:w="1712"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互联网+</w:t>
            </w:r>
          </w:p>
        </w:tc>
        <w:tc>
          <w:tcPr>
            <w:tcW w:w="94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88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85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93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78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24</w:t>
            </w:r>
          </w:p>
        </w:tc>
        <w:tc>
          <w:tcPr>
            <w:tcW w:w="721"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18</w:t>
            </w:r>
          </w:p>
        </w:tc>
        <w:tc>
          <w:tcPr>
            <w:tcW w:w="877"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bottom w:val="single" w:color="auto" w:sz="4" w:space="0"/>
            </w:tcBorders>
            <w:noWrap w:val="0"/>
            <w:vAlign w:val="top"/>
          </w:tcPr>
          <w:p>
            <w:pPr>
              <w:autoSpaceDE w:val="0"/>
              <w:autoSpaceDN w:val="0"/>
              <w:adjustRightInd w:val="0"/>
              <w:spacing w:line="360" w:lineRule="auto"/>
              <w:rPr>
                <w:rFonts w:eastAsia="仿宋_GB2312"/>
                <w:kern w:val="0"/>
                <w:szCs w:val="21"/>
              </w:rPr>
            </w:pPr>
          </w:p>
        </w:tc>
        <w:tc>
          <w:tcPr>
            <w:tcW w:w="1712"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hint="eastAsia" w:ascii="Times New Roman" w:hAnsi="Times New Roman" w:eastAsia="仿宋_GB2312" w:cs="Times New Roman"/>
                <w:kern w:val="0"/>
                <w:szCs w:val="21"/>
                <w:lang w:val="en-US" w:eastAsia="zh-CN"/>
              </w:rPr>
              <w:t>全国研究生创新实践系列活动</w:t>
            </w:r>
          </w:p>
        </w:tc>
        <w:tc>
          <w:tcPr>
            <w:tcW w:w="94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88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85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93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78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hint="eastAsia" w:eastAsia="仿宋_GB2312"/>
                <w:kern w:val="0"/>
                <w:sz w:val="21"/>
                <w:szCs w:val="21"/>
                <w:lang w:val="en-US" w:eastAsia="zh-CN" w:bidi="ar-SA"/>
              </w:rPr>
            </w:pPr>
            <w:r>
              <w:rPr>
                <w:rFonts w:hint="eastAsia" w:eastAsia="仿宋_GB2312"/>
                <w:kern w:val="0"/>
                <w:sz w:val="21"/>
                <w:szCs w:val="21"/>
                <w:lang w:val="en-US" w:eastAsia="zh-CN" w:bidi="ar-SA"/>
              </w:rPr>
              <w:t>12</w:t>
            </w:r>
          </w:p>
        </w:tc>
        <w:tc>
          <w:tcPr>
            <w:tcW w:w="721"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hint="eastAsia" w:eastAsia="仿宋_GB2312"/>
                <w:kern w:val="0"/>
                <w:sz w:val="21"/>
                <w:szCs w:val="21"/>
                <w:lang w:val="en-US" w:eastAsia="zh-CN" w:bidi="ar-SA"/>
              </w:rPr>
            </w:pPr>
            <w:r>
              <w:rPr>
                <w:rFonts w:hint="eastAsia" w:eastAsia="仿宋_GB2312"/>
                <w:kern w:val="0"/>
                <w:sz w:val="21"/>
                <w:szCs w:val="21"/>
                <w:lang w:val="en-US" w:eastAsia="zh-CN" w:bidi="ar-SA"/>
              </w:rPr>
              <w:t>9</w:t>
            </w:r>
          </w:p>
        </w:tc>
        <w:tc>
          <w:tcPr>
            <w:tcW w:w="877"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hint="eastAsia" w:eastAsia="仿宋_GB2312"/>
                <w:kern w:val="0"/>
                <w:sz w:val="21"/>
                <w:szCs w:val="21"/>
                <w:lang w:val="en-US" w:eastAsia="zh-CN" w:bidi="ar-SA"/>
              </w:rPr>
            </w:pPr>
            <w:r>
              <w:rPr>
                <w:rFonts w:hint="eastAsia" w:eastAsia="仿宋_GB2312"/>
                <w:kern w:val="0"/>
                <w:sz w:val="21"/>
                <w:szCs w:val="21"/>
                <w:lang w:val="en-US" w:eastAsia="zh-CN" w:bidi="ar-S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bottom w:val="single" w:color="auto" w:sz="4" w:space="0"/>
            </w:tcBorders>
            <w:noWrap w:val="0"/>
            <w:vAlign w:val="top"/>
          </w:tcPr>
          <w:p>
            <w:pPr>
              <w:autoSpaceDE w:val="0"/>
              <w:autoSpaceDN w:val="0"/>
              <w:adjustRightInd w:val="0"/>
              <w:spacing w:line="360" w:lineRule="auto"/>
              <w:rPr>
                <w:rFonts w:eastAsia="仿宋_GB2312"/>
                <w:kern w:val="0"/>
                <w:szCs w:val="21"/>
              </w:rPr>
            </w:pPr>
          </w:p>
        </w:tc>
        <w:tc>
          <w:tcPr>
            <w:tcW w:w="1712"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hint="eastAsia" w:eastAsia="仿宋_GB2312"/>
                <w:kern w:val="0"/>
                <w:szCs w:val="21"/>
                <w:lang w:val="en-US" w:eastAsia="zh-CN"/>
              </w:rPr>
              <w:t>其他比赛外的学术竞赛</w:t>
            </w:r>
          </w:p>
        </w:tc>
        <w:tc>
          <w:tcPr>
            <w:tcW w:w="94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88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85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93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78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hint="default" w:eastAsia="仿宋_GB2312"/>
                <w:kern w:val="0"/>
                <w:sz w:val="21"/>
                <w:szCs w:val="21"/>
                <w:lang w:val="en-US" w:eastAsia="zh-CN" w:bidi="ar-SA"/>
              </w:rPr>
            </w:pPr>
            <w:r>
              <w:rPr>
                <w:rFonts w:hint="eastAsia" w:eastAsia="仿宋_GB2312"/>
                <w:kern w:val="0"/>
                <w:sz w:val="21"/>
                <w:szCs w:val="21"/>
                <w:lang w:val="en-US" w:eastAsia="zh-CN" w:bidi="ar-SA"/>
              </w:rPr>
              <w:t>7.2</w:t>
            </w:r>
          </w:p>
        </w:tc>
        <w:tc>
          <w:tcPr>
            <w:tcW w:w="721"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hint="default" w:eastAsia="仿宋_GB2312"/>
                <w:kern w:val="0"/>
                <w:sz w:val="21"/>
                <w:szCs w:val="21"/>
                <w:lang w:val="en-US" w:eastAsia="zh-CN" w:bidi="ar-SA"/>
              </w:rPr>
            </w:pPr>
            <w:r>
              <w:rPr>
                <w:rFonts w:hint="eastAsia" w:eastAsia="仿宋_GB2312"/>
                <w:kern w:val="0"/>
                <w:sz w:val="21"/>
                <w:szCs w:val="21"/>
                <w:lang w:val="en-US" w:eastAsia="zh-CN" w:bidi="ar-SA"/>
              </w:rPr>
              <w:t>5.4</w:t>
            </w:r>
          </w:p>
        </w:tc>
        <w:tc>
          <w:tcPr>
            <w:tcW w:w="877"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hint="default" w:eastAsia="仿宋_GB2312"/>
                <w:kern w:val="0"/>
                <w:sz w:val="21"/>
                <w:szCs w:val="21"/>
                <w:lang w:val="en-US" w:eastAsia="zh-CN" w:bidi="ar-SA"/>
              </w:rPr>
            </w:pPr>
            <w:r>
              <w:rPr>
                <w:rFonts w:hint="eastAsia" w:eastAsia="仿宋_GB2312"/>
                <w:kern w:val="0"/>
                <w:sz w:val="21"/>
                <w:szCs w:val="21"/>
                <w:lang w:val="en-US" w:eastAsia="zh-CN" w:bidi="ar-SA"/>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single" w:color="auto" w:sz="4" w:space="0"/>
              <w:bottom w:val="single" w:color="auto" w:sz="4" w:space="0"/>
            </w:tcBorders>
            <w:noWrap w:val="0"/>
            <w:vAlign w:val="center"/>
          </w:tcPr>
          <w:p>
            <w:pPr>
              <w:autoSpaceDE w:val="0"/>
              <w:autoSpaceDN w:val="0"/>
              <w:adjustRightInd w:val="0"/>
              <w:spacing w:line="360" w:lineRule="auto"/>
              <w:jc w:val="center"/>
              <w:rPr>
                <w:rFonts w:eastAsia="仿宋_GB2312"/>
                <w:kern w:val="0"/>
                <w:szCs w:val="21"/>
              </w:rPr>
            </w:pPr>
            <w:r>
              <w:rPr>
                <w:rFonts w:eastAsia="仿宋_GB2312"/>
                <w:kern w:val="0"/>
                <w:szCs w:val="21"/>
              </w:rPr>
              <w:t>校</w:t>
            </w:r>
          </w:p>
          <w:p>
            <w:pPr>
              <w:autoSpaceDE w:val="0"/>
              <w:autoSpaceDN w:val="0"/>
              <w:adjustRightInd w:val="0"/>
              <w:spacing w:line="360" w:lineRule="auto"/>
              <w:jc w:val="center"/>
              <w:rPr>
                <w:rFonts w:eastAsia="仿宋_GB2312"/>
                <w:kern w:val="0"/>
                <w:szCs w:val="21"/>
              </w:rPr>
            </w:pPr>
            <w:r>
              <w:rPr>
                <w:rFonts w:eastAsia="仿宋_GB2312"/>
                <w:kern w:val="0"/>
                <w:szCs w:val="21"/>
              </w:rPr>
              <w:t>级</w:t>
            </w:r>
          </w:p>
        </w:tc>
        <w:tc>
          <w:tcPr>
            <w:tcW w:w="1712" w:type="dxa"/>
            <w:tcBorders>
              <w:top w:val="single" w:color="auto" w:sz="4" w:space="0"/>
              <w:bottom w:val="single" w:color="auto" w:sz="4" w:space="0"/>
            </w:tcBorders>
            <w:noWrap w:val="0"/>
            <w:vAlign w:val="center"/>
          </w:tcPr>
          <w:p>
            <w:pPr>
              <w:autoSpaceDE w:val="0"/>
              <w:autoSpaceDN w:val="0"/>
              <w:adjustRightInd w:val="0"/>
              <w:spacing w:line="200" w:lineRule="exact"/>
              <w:jc w:val="center"/>
              <w:rPr>
                <w:rFonts w:eastAsia="仿宋_GB2312"/>
                <w:kern w:val="0"/>
                <w:sz w:val="18"/>
                <w:szCs w:val="21"/>
              </w:rPr>
            </w:pPr>
            <w:r>
              <w:rPr>
                <w:rFonts w:hint="eastAsia" w:eastAsia="仿宋_GB2312"/>
                <w:kern w:val="0"/>
                <w:szCs w:val="21"/>
                <w:lang w:val="en-US" w:eastAsia="zh-CN"/>
              </w:rPr>
              <w:t>大挑</w:t>
            </w:r>
          </w:p>
        </w:tc>
        <w:tc>
          <w:tcPr>
            <w:tcW w:w="94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5</w:t>
            </w:r>
          </w:p>
        </w:tc>
        <w:tc>
          <w:tcPr>
            <w:tcW w:w="88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hint="eastAsia" w:eastAsia="仿宋_GB2312"/>
                <w:kern w:val="0"/>
                <w:szCs w:val="21"/>
              </w:rPr>
              <w:t>3</w:t>
            </w:r>
          </w:p>
        </w:tc>
        <w:tc>
          <w:tcPr>
            <w:tcW w:w="85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hint="eastAsia" w:eastAsia="仿宋_GB2312"/>
                <w:kern w:val="0"/>
                <w:szCs w:val="21"/>
              </w:rPr>
              <w:t>2</w:t>
            </w:r>
          </w:p>
        </w:tc>
        <w:tc>
          <w:tcPr>
            <w:tcW w:w="93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hint="eastAsia" w:eastAsia="仿宋_GB2312"/>
                <w:kern w:val="0"/>
                <w:szCs w:val="21"/>
              </w:rPr>
              <w:t>1</w:t>
            </w:r>
          </w:p>
        </w:tc>
        <w:tc>
          <w:tcPr>
            <w:tcW w:w="78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721"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877"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bottom w:val="single" w:color="auto" w:sz="4" w:space="0"/>
            </w:tcBorders>
            <w:noWrap w:val="0"/>
            <w:vAlign w:val="top"/>
          </w:tcPr>
          <w:p>
            <w:pPr>
              <w:autoSpaceDE w:val="0"/>
              <w:autoSpaceDN w:val="0"/>
              <w:adjustRightInd w:val="0"/>
              <w:spacing w:line="360" w:lineRule="auto"/>
              <w:rPr>
                <w:rFonts w:eastAsia="仿宋_GB2312"/>
                <w:kern w:val="0"/>
                <w:szCs w:val="21"/>
              </w:rPr>
            </w:pPr>
          </w:p>
        </w:tc>
        <w:tc>
          <w:tcPr>
            <w:tcW w:w="1712"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hint="eastAsia" w:eastAsia="仿宋_GB2312"/>
                <w:kern w:val="0"/>
                <w:szCs w:val="21"/>
                <w:lang w:val="en-US" w:eastAsia="zh-CN"/>
              </w:rPr>
              <w:t>小挑</w:t>
            </w:r>
          </w:p>
        </w:tc>
        <w:tc>
          <w:tcPr>
            <w:tcW w:w="94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88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85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93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78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5</w:t>
            </w:r>
          </w:p>
        </w:tc>
        <w:tc>
          <w:tcPr>
            <w:tcW w:w="721"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hint="eastAsia" w:eastAsia="仿宋_GB2312"/>
                <w:kern w:val="0"/>
                <w:szCs w:val="21"/>
              </w:rPr>
              <w:t>3</w:t>
            </w:r>
          </w:p>
        </w:tc>
        <w:tc>
          <w:tcPr>
            <w:tcW w:w="877"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hint="eastAsia" w:eastAsia="仿宋_GB2312"/>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bottom w:val="single" w:color="auto" w:sz="4" w:space="0"/>
            </w:tcBorders>
            <w:noWrap w:val="0"/>
            <w:vAlign w:val="top"/>
          </w:tcPr>
          <w:p>
            <w:pPr>
              <w:autoSpaceDE w:val="0"/>
              <w:autoSpaceDN w:val="0"/>
              <w:adjustRightInd w:val="0"/>
              <w:spacing w:line="360" w:lineRule="auto"/>
              <w:rPr>
                <w:rFonts w:eastAsia="仿宋_GB2312"/>
                <w:kern w:val="0"/>
                <w:szCs w:val="21"/>
              </w:rPr>
            </w:pPr>
          </w:p>
        </w:tc>
        <w:tc>
          <w:tcPr>
            <w:tcW w:w="1712"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互联网+</w:t>
            </w:r>
          </w:p>
        </w:tc>
        <w:tc>
          <w:tcPr>
            <w:tcW w:w="94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88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85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93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w:t>
            </w:r>
          </w:p>
        </w:tc>
        <w:tc>
          <w:tcPr>
            <w:tcW w:w="78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eastAsia="仿宋_GB2312"/>
                <w:kern w:val="0"/>
                <w:szCs w:val="21"/>
              </w:rPr>
              <w:t>5</w:t>
            </w:r>
          </w:p>
        </w:tc>
        <w:tc>
          <w:tcPr>
            <w:tcW w:w="721"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hint="eastAsia" w:eastAsia="仿宋_GB2312"/>
                <w:kern w:val="0"/>
                <w:szCs w:val="21"/>
              </w:rPr>
              <w:t>3</w:t>
            </w:r>
          </w:p>
        </w:tc>
        <w:tc>
          <w:tcPr>
            <w:tcW w:w="877"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Cs w:val="21"/>
              </w:rPr>
            </w:pPr>
            <w:r>
              <w:rPr>
                <w:rFonts w:hint="eastAsia" w:eastAsia="仿宋_GB2312"/>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bottom w:val="single" w:color="auto" w:sz="4" w:space="0"/>
            </w:tcBorders>
            <w:noWrap w:val="0"/>
            <w:vAlign w:val="top"/>
          </w:tcPr>
          <w:p>
            <w:pPr>
              <w:autoSpaceDE w:val="0"/>
              <w:autoSpaceDN w:val="0"/>
              <w:adjustRightInd w:val="0"/>
              <w:spacing w:line="360" w:lineRule="auto"/>
              <w:rPr>
                <w:rFonts w:eastAsia="仿宋_GB2312"/>
                <w:kern w:val="0"/>
                <w:szCs w:val="21"/>
              </w:rPr>
            </w:pPr>
          </w:p>
        </w:tc>
        <w:tc>
          <w:tcPr>
            <w:tcW w:w="1712"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hint="eastAsia" w:ascii="Times New Roman" w:hAnsi="Times New Roman" w:eastAsia="仿宋_GB2312" w:cs="Times New Roman"/>
                <w:kern w:val="0"/>
                <w:szCs w:val="21"/>
                <w:lang w:val="en-US" w:eastAsia="zh-CN"/>
              </w:rPr>
              <w:t>全国研究生创新实践系列活动</w:t>
            </w:r>
          </w:p>
        </w:tc>
        <w:tc>
          <w:tcPr>
            <w:tcW w:w="94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88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855"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93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780"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hint="eastAsia" w:eastAsia="仿宋_GB2312"/>
                <w:kern w:val="0"/>
                <w:sz w:val="21"/>
                <w:szCs w:val="21"/>
                <w:lang w:val="en-US" w:eastAsia="zh-CN" w:bidi="ar-SA"/>
              </w:rPr>
            </w:pPr>
            <w:r>
              <w:rPr>
                <w:rFonts w:hint="eastAsia" w:eastAsia="仿宋_GB2312"/>
                <w:kern w:val="0"/>
                <w:sz w:val="21"/>
                <w:szCs w:val="21"/>
                <w:lang w:val="en-US" w:eastAsia="zh-CN" w:bidi="ar-SA"/>
              </w:rPr>
              <w:t>2.5</w:t>
            </w:r>
          </w:p>
        </w:tc>
        <w:tc>
          <w:tcPr>
            <w:tcW w:w="721"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hint="eastAsia" w:eastAsia="仿宋_GB2312"/>
                <w:kern w:val="0"/>
                <w:sz w:val="21"/>
                <w:szCs w:val="21"/>
                <w:lang w:val="en-US" w:eastAsia="zh-CN" w:bidi="ar-SA"/>
              </w:rPr>
            </w:pPr>
            <w:r>
              <w:rPr>
                <w:rFonts w:hint="eastAsia" w:eastAsia="仿宋_GB2312"/>
                <w:kern w:val="0"/>
                <w:sz w:val="21"/>
                <w:szCs w:val="21"/>
                <w:lang w:val="en-US" w:eastAsia="zh-CN" w:bidi="ar-SA"/>
              </w:rPr>
              <w:t>1.5</w:t>
            </w:r>
          </w:p>
        </w:tc>
        <w:tc>
          <w:tcPr>
            <w:tcW w:w="877" w:type="dxa"/>
            <w:tcBorders>
              <w:top w:val="single" w:color="auto" w:sz="4" w:space="0"/>
              <w:bottom w:val="single" w:color="auto" w:sz="4" w:space="0"/>
            </w:tcBorders>
            <w:noWrap w:val="0"/>
            <w:vAlign w:val="top"/>
          </w:tcPr>
          <w:p>
            <w:pPr>
              <w:autoSpaceDE w:val="0"/>
              <w:autoSpaceDN w:val="0"/>
              <w:adjustRightInd w:val="0"/>
              <w:spacing w:line="360" w:lineRule="auto"/>
              <w:jc w:val="center"/>
              <w:rPr>
                <w:rFonts w:hint="eastAsia" w:eastAsia="仿宋_GB2312"/>
                <w:kern w:val="0"/>
                <w:sz w:val="21"/>
                <w:szCs w:val="21"/>
                <w:lang w:val="en-US" w:eastAsia="zh-CN" w:bidi="ar-SA"/>
              </w:rPr>
            </w:pPr>
            <w:r>
              <w:rPr>
                <w:rFonts w:hint="eastAsia" w:eastAsia="仿宋_GB2312"/>
                <w:kern w:val="0"/>
                <w:sz w:val="21"/>
                <w:szCs w:val="21"/>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tcBorders>
            <w:noWrap w:val="0"/>
            <w:vAlign w:val="top"/>
          </w:tcPr>
          <w:p>
            <w:pPr>
              <w:autoSpaceDE w:val="0"/>
              <w:autoSpaceDN w:val="0"/>
              <w:adjustRightInd w:val="0"/>
              <w:spacing w:line="360" w:lineRule="auto"/>
              <w:rPr>
                <w:rFonts w:eastAsia="仿宋_GB2312"/>
                <w:kern w:val="0"/>
                <w:szCs w:val="21"/>
              </w:rPr>
            </w:pPr>
          </w:p>
        </w:tc>
        <w:tc>
          <w:tcPr>
            <w:tcW w:w="1712" w:type="dxa"/>
            <w:tcBorders>
              <w:top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hint="eastAsia" w:eastAsia="仿宋_GB2312"/>
                <w:kern w:val="0"/>
                <w:szCs w:val="21"/>
                <w:lang w:val="en-US" w:eastAsia="zh-CN"/>
              </w:rPr>
              <w:t>其他比赛外的学术竞赛</w:t>
            </w:r>
          </w:p>
        </w:tc>
        <w:tc>
          <w:tcPr>
            <w:tcW w:w="945" w:type="dxa"/>
            <w:tcBorders>
              <w:top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885" w:type="dxa"/>
            <w:tcBorders>
              <w:top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855" w:type="dxa"/>
            <w:tcBorders>
              <w:top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930" w:type="dxa"/>
            <w:tcBorders>
              <w:top w:val="single" w:color="auto" w:sz="4" w:space="0"/>
            </w:tcBorders>
            <w:noWrap w:val="0"/>
            <w:vAlign w:val="top"/>
          </w:tcPr>
          <w:p>
            <w:pPr>
              <w:autoSpaceDE w:val="0"/>
              <w:autoSpaceDN w:val="0"/>
              <w:adjustRightInd w:val="0"/>
              <w:spacing w:line="360" w:lineRule="auto"/>
              <w:jc w:val="center"/>
              <w:rPr>
                <w:rFonts w:eastAsia="仿宋_GB2312"/>
                <w:kern w:val="0"/>
                <w:sz w:val="21"/>
                <w:szCs w:val="21"/>
                <w:lang w:val="en-US" w:eastAsia="zh-CN" w:bidi="ar-SA"/>
              </w:rPr>
            </w:pPr>
            <w:r>
              <w:rPr>
                <w:rFonts w:eastAsia="仿宋_GB2312"/>
                <w:kern w:val="0"/>
                <w:szCs w:val="21"/>
              </w:rPr>
              <w:t>\</w:t>
            </w:r>
          </w:p>
        </w:tc>
        <w:tc>
          <w:tcPr>
            <w:tcW w:w="780" w:type="dxa"/>
            <w:tcBorders>
              <w:top w:val="single" w:color="auto" w:sz="4" w:space="0"/>
            </w:tcBorders>
            <w:noWrap w:val="0"/>
            <w:vAlign w:val="top"/>
          </w:tcPr>
          <w:p>
            <w:pPr>
              <w:autoSpaceDE w:val="0"/>
              <w:autoSpaceDN w:val="0"/>
              <w:adjustRightInd w:val="0"/>
              <w:spacing w:line="360" w:lineRule="auto"/>
              <w:jc w:val="center"/>
              <w:rPr>
                <w:rFonts w:hint="default" w:eastAsia="仿宋_GB2312"/>
                <w:kern w:val="0"/>
                <w:sz w:val="21"/>
                <w:szCs w:val="21"/>
                <w:lang w:val="en-US" w:eastAsia="zh-CN" w:bidi="ar-SA"/>
              </w:rPr>
            </w:pPr>
            <w:r>
              <w:rPr>
                <w:rFonts w:hint="eastAsia" w:eastAsia="仿宋_GB2312"/>
                <w:kern w:val="0"/>
                <w:sz w:val="21"/>
                <w:szCs w:val="21"/>
                <w:lang w:val="en-US" w:eastAsia="zh-CN" w:bidi="ar-SA"/>
              </w:rPr>
              <w:t>1.5</w:t>
            </w:r>
          </w:p>
        </w:tc>
        <w:tc>
          <w:tcPr>
            <w:tcW w:w="721" w:type="dxa"/>
            <w:tcBorders>
              <w:top w:val="single" w:color="auto" w:sz="4" w:space="0"/>
            </w:tcBorders>
            <w:noWrap w:val="0"/>
            <w:vAlign w:val="top"/>
          </w:tcPr>
          <w:p>
            <w:pPr>
              <w:autoSpaceDE w:val="0"/>
              <w:autoSpaceDN w:val="0"/>
              <w:adjustRightInd w:val="0"/>
              <w:spacing w:line="360" w:lineRule="auto"/>
              <w:jc w:val="center"/>
              <w:rPr>
                <w:rFonts w:hint="default" w:eastAsia="仿宋_GB2312"/>
                <w:kern w:val="0"/>
                <w:sz w:val="21"/>
                <w:szCs w:val="21"/>
                <w:lang w:val="en-US" w:eastAsia="zh-CN" w:bidi="ar-SA"/>
              </w:rPr>
            </w:pPr>
            <w:r>
              <w:rPr>
                <w:rFonts w:hint="eastAsia" w:eastAsia="仿宋_GB2312"/>
                <w:kern w:val="0"/>
                <w:sz w:val="21"/>
                <w:szCs w:val="21"/>
                <w:lang w:val="en-US" w:eastAsia="zh-CN" w:bidi="ar-SA"/>
              </w:rPr>
              <w:t>0.9</w:t>
            </w:r>
          </w:p>
        </w:tc>
        <w:tc>
          <w:tcPr>
            <w:tcW w:w="877" w:type="dxa"/>
            <w:tcBorders>
              <w:top w:val="single" w:color="auto" w:sz="4" w:space="0"/>
            </w:tcBorders>
            <w:noWrap w:val="0"/>
            <w:vAlign w:val="top"/>
          </w:tcPr>
          <w:p>
            <w:pPr>
              <w:autoSpaceDE w:val="0"/>
              <w:autoSpaceDN w:val="0"/>
              <w:adjustRightInd w:val="0"/>
              <w:spacing w:line="360" w:lineRule="auto"/>
              <w:jc w:val="center"/>
              <w:rPr>
                <w:rFonts w:hint="default" w:eastAsia="仿宋_GB2312"/>
                <w:kern w:val="0"/>
                <w:sz w:val="21"/>
                <w:szCs w:val="21"/>
                <w:lang w:val="en-US" w:eastAsia="zh-CN" w:bidi="ar-SA"/>
              </w:rPr>
            </w:pPr>
            <w:r>
              <w:rPr>
                <w:rFonts w:hint="eastAsia" w:eastAsia="仿宋_GB2312"/>
                <w:kern w:val="0"/>
                <w:sz w:val="21"/>
                <w:szCs w:val="21"/>
                <w:lang w:val="en-US" w:eastAsia="zh-CN" w:bidi="ar-SA"/>
              </w:rPr>
              <w:t>0.6</w:t>
            </w:r>
          </w:p>
        </w:tc>
      </w:tr>
    </w:tbl>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（三）参评材料说明</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1. 参与评奖的全部科研成果均应为在我院就读期间取得的成果。</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2. 发表的中文论文需在评奖年度内正式见刊，并出具论文的封面、目录、正文全文、封底。英文论文</w:t>
      </w:r>
      <w:r>
        <w:rPr>
          <w:rFonts w:eastAsia="仿宋_GB2312"/>
          <w:sz w:val="32"/>
          <w:szCs w:val="32"/>
        </w:rPr>
        <w:t>须提供检索证明</w:t>
      </w:r>
      <w:r>
        <w:rPr>
          <w:rFonts w:hint="eastAsia" w:eastAsia="仿宋_GB2312"/>
          <w:kern w:val="0"/>
          <w:sz w:val="32"/>
          <w:szCs w:val="32"/>
        </w:rPr>
        <w:t>（</w:t>
      </w:r>
      <w:r>
        <w:rPr>
          <w:rFonts w:hint="eastAsia" w:eastAsia="仿宋_GB2312"/>
          <w:color w:val="auto"/>
          <w:kern w:val="0"/>
          <w:sz w:val="32"/>
          <w:szCs w:val="32"/>
        </w:rPr>
        <w:t>检索证明标注“提前访问时间”的，</w:t>
      </w:r>
      <w:r>
        <w:rPr>
          <w:rFonts w:hint="eastAsia" w:eastAsia="仿宋_GB2312"/>
          <w:color w:val="auto"/>
          <w:kern w:val="0"/>
          <w:sz w:val="32"/>
          <w:szCs w:val="32"/>
          <w:lang w:val="en-US" w:eastAsia="zh-CN"/>
        </w:rPr>
        <w:t>需要提供DOI号</w:t>
      </w:r>
      <w:r>
        <w:rPr>
          <w:rFonts w:hint="eastAsia" w:eastAsia="仿宋_GB2312"/>
          <w:kern w:val="0"/>
          <w:sz w:val="32"/>
          <w:szCs w:val="32"/>
        </w:rPr>
        <w:t>）</w:t>
      </w:r>
      <w:r>
        <w:rPr>
          <w:rFonts w:eastAsia="仿宋_GB2312"/>
          <w:kern w:val="0"/>
          <w:sz w:val="32"/>
          <w:szCs w:val="32"/>
        </w:rPr>
        <w:t>，否则不予计分；同一论文被多种系统收录时，以最高分值计算；论文摘要、会议综述、活动报道、无正式CN号论文等不列入科研成果参与评奖。</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3. 科研成果为多人合著或共同参与，则成果分摊系数参照学校相关规定执行。</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4. 高层次奖励办法中未明确规定的其它论文及成果，按学院规定的分值计算，不计倍数。其中准一级计12分；二级计10分，二级只计第一学生作者（导师一作视为第一作者），其他排名作者不计分；三级及以下不计分。</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5. 参评的科研成果作者单位必须以浙江工商大学为第一署名单位；若有通讯作者单位，通讯作者单位或作者单位不是浙江工商大学时，减半计分。</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6. 参评的论文、知识产权成果中</w:t>
      </w:r>
      <w:r>
        <w:rPr>
          <w:rFonts w:hint="eastAsia" w:eastAsia="仿宋_GB2312"/>
          <w:kern w:val="0"/>
          <w:sz w:val="32"/>
          <w:szCs w:val="32"/>
        </w:rPr>
        <w:t>（1）</w:t>
      </w:r>
      <w:r>
        <w:rPr>
          <w:rFonts w:eastAsia="仿宋_GB2312"/>
          <w:kern w:val="0"/>
          <w:sz w:val="32"/>
          <w:szCs w:val="32"/>
        </w:rPr>
        <w:t>若导师是第一作者，参评者为第二作者，则等同于参评者第一作者，导师计入作者总数</w:t>
      </w:r>
      <w:r>
        <w:rPr>
          <w:rFonts w:hint="eastAsia" w:eastAsia="仿宋_GB2312"/>
          <w:kern w:val="0"/>
          <w:sz w:val="32"/>
          <w:szCs w:val="32"/>
        </w:rPr>
        <w:t>。若</w:t>
      </w:r>
      <w:r>
        <w:rPr>
          <w:rFonts w:hint="eastAsia" w:eastAsia="仿宋_GB2312"/>
          <w:kern w:val="0"/>
          <w:sz w:val="32"/>
          <w:szCs w:val="32"/>
          <w:lang w:val="en-US" w:eastAsia="zh-CN"/>
        </w:rPr>
        <w:t>副</w:t>
      </w:r>
      <w:r>
        <w:rPr>
          <w:rFonts w:eastAsia="仿宋_GB2312"/>
          <w:kern w:val="0"/>
          <w:sz w:val="32"/>
          <w:szCs w:val="32"/>
        </w:rPr>
        <w:t>导师是第一作者</w:t>
      </w:r>
      <w:r>
        <w:rPr>
          <w:rFonts w:hint="eastAsia" w:eastAsia="仿宋_GB2312"/>
          <w:kern w:val="0"/>
          <w:sz w:val="32"/>
          <w:szCs w:val="32"/>
          <w:lang w:eastAsia="zh-CN"/>
        </w:rPr>
        <w:t>（</w:t>
      </w:r>
      <w:r>
        <w:rPr>
          <w:rFonts w:hint="eastAsia" w:eastAsia="仿宋_GB2312"/>
          <w:kern w:val="0"/>
          <w:sz w:val="32"/>
          <w:szCs w:val="32"/>
          <w:lang w:val="en-US" w:eastAsia="zh-CN"/>
        </w:rPr>
        <w:t>在材料上交截止日期前，教务老师备案为准）</w:t>
      </w:r>
      <w:r>
        <w:rPr>
          <w:rFonts w:hint="eastAsia" w:eastAsia="仿宋_GB2312"/>
          <w:kern w:val="0"/>
          <w:sz w:val="32"/>
          <w:szCs w:val="32"/>
        </w:rPr>
        <w:t>，按第一作者应得分数的9</w:t>
      </w:r>
      <w:r>
        <w:rPr>
          <w:rFonts w:eastAsia="仿宋_GB2312"/>
          <w:kern w:val="0"/>
          <w:sz w:val="32"/>
          <w:szCs w:val="32"/>
        </w:rPr>
        <w:t>0</w:t>
      </w:r>
      <w:r>
        <w:rPr>
          <w:rFonts w:hint="eastAsia" w:eastAsia="仿宋_GB2312"/>
          <w:kern w:val="0"/>
          <w:sz w:val="32"/>
          <w:szCs w:val="32"/>
        </w:rPr>
        <w:t>%赋分</w:t>
      </w:r>
      <w:r>
        <w:rPr>
          <w:rFonts w:hint="eastAsia" w:eastAsia="仿宋_GB2312"/>
          <w:kern w:val="0"/>
          <w:sz w:val="32"/>
          <w:szCs w:val="32"/>
          <w:lang w:val="en-US" w:eastAsia="zh-CN"/>
        </w:rPr>
        <w:t>且</w:t>
      </w:r>
      <w:r>
        <w:rPr>
          <w:rFonts w:eastAsia="仿宋_GB2312"/>
          <w:kern w:val="0"/>
          <w:sz w:val="32"/>
          <w:szCs w:val="32"/>
        </w:rPr>
        <w:t>导师计入作者总数。</w:t>
      </w:r>
      <w:r>
        <w:rPr>
          <w:rFonts w:hint="eastAsia" w:eastAsia="仿宋_GB2312"/>
          <w:kern w:val="0"/>
          <w:sz w:val="32"/>
          <w:szCs w:val="32"/>
        </w:rPr>
        <w:t>若</w:t>
      </w:r>
      <w:r>
        <w:rPr>
          <w:rFonts w:hint="eastAsia" w:eastAsia="仿宋_GB2312"/>
          <w:kern w:val="0"/>
          <w:sz w:val="32"/>
          <w:szCs w:val="32"/>
          <w:lang w:val="en-US" w:eastAsia="zh-CN"/>
        </w:rPr>
        <w:t>其他老师</w:t>
      </w:r>
      <w:r>
        <w:rPr>
          <w:rFonts w:hint="eastAsia" w:eastAsia="仿宋_GB2312"/>
          <w:kern w:val="0"/>
          <w:sz w:val="32"/>
          <w:szCs w:val="32"/>
        </w:rPr>
        <w:t>是第一作者，参评者为第二作者，按照多人合作分摊系数表</w:t>
      </w:r>
      <w:r>
        <w:rPr>
          <w:rFonts w:hint="eastAsia" w:eastAsia="仿宋_GB2312"/>
          <w:kern w:val="0"/>
          <w:sz w:val="32"/>
          <w:szCs w:val="32"/>
          <w:lang w:val="en-US" w:eastAsia="zh-CN"/>
        </w:rPr>
        <w:t>且其他老师计入作者总数</w:t>
      </w:r>
      <w:r>
        <w:rPr>
          <w:rFonts w:hint="eastAsia" w:eastAsia="仿宋_GB2312"/>
          <w:kern w:val="0"/>
          <w:sz w:val="32"/>
          <w:szCs w:val="32"/>
        </w:rPr>
        <w:t>。（2）若参评者与导师/副导师为共同一作，参评者排名第二，按第一作者赋分</w:t>
      </w:r>
      <w:r>
        <w:rPr>
          <w:rFonts w:eastAsia="仿宋_GB2312"/>
          <w:kern w:val="0"/>
          <w:sz w:val="32"/>
          <w:szCs w:val="32"/>
        </w:rPr>
        <w:t>。</w:t>
      </w:r>
      <w:r>
        <w:rPr>
          <w:rFonts w:hint="eastAsia" w:eastAsia="仿宋_GB2312"/>
          <w:kern w:val="0"/>
          <w:sz w:val="32"/>
          <w:szCs w:val="32"/>
        </w:rPr>
        <w:t>参评者与</w:t>
      </w:r>
      <w:r>
        <w:rPr>
          <w:rFonts w:hint="eastAsia" w:eastAsia="仿宋_GB2312"/>
          <w:kern w:val="0"/>
          <w:sz w:val="32"/>
          <w:szCs w:val="32"/>
          <w:lang w:val="en-US" w:eastAsia="zh-CN"/>
        </w:rPr>
        <w:t>其他老师</w:t>
      </w:r>
      <w:r>
        <w:rPr>
          <w:rFonts w:hint="eastAsia" w:eastAsia="仿宋_GB2312"/>
          <w:kern w:val="0"/>
          <w:sz w:val="32"/>
          <w:szCs w:val="32"/>
        </w:rPr>
        <w:t>为共同一作，参评者排名第二，按第一作者5</w:t>
      </w:r>
      <w:r>
        <w:rPr>
          <w:rFonts w:eastAsia="仿宋_GB2312"/>
          <w:kern w:val="0"/>
          <w:sz w:val="32"/>
          <w:szCs w:val="32"/>
        </w:rPr>
        <w:t>0</w:t>
      </w:r>
      <w:r>
        <w:rPr>
          <w:rFonts w:hint="eastAsia" w:eastAsia="仿宋_GB2312"/>
          <w:kern w:val="0"/>
          <w:sz w:val="32"/>
          <w:szCs w:val="32"/>
        </w:rPr>
        <w:t>%赋分。参评者与</w:t>
      </w:r>
      <w:r>
        <w:rPr>
          <w:rFonts w:hint="eastAsia" w:eastAsia="仿宋_GB2312"/>
          <w:kern w:val="0"/>
          <w:sz w:val="32"/>
          <w:szCs w:val="32"/>
          <w:lang w:val="en-US" w:eastAsia="zh-CN"/>
        </w:rPr>
        <w:t>其他老师（含导师/副导师，其他老师）</w:t>
      </w:r>
      <w:r>
        <w:rPr>
          <w:rFonts w:hint="eastAsia" w:eastAsia="仿宋_GB2312"/>
          <w:kern w:val="0"/>
          <w:sz w:val="32"/>
          <w:szCs w:val="32"/>
        </w:rPr>
        <w:t>共同一作，参评者排第三及以后，</w:t>
      </w:r>
      <w:r>
        <w:rPr>
          <w:rFonts w:hint="eastAsia" w:eastAsia="仿宋_GB2312"/>
          <w:kern w:val="0"/>
          <w:sz w:val="32"/>
          <w:szCs w:val="32"/>
          <w:lang w:val="en-US" w:eastAsia="zh-CN"/>
        </w:rPr>
        <w:t>均</w:t>
      </w:r>
      <w:r>
        <w:rPr>
          <w:rFonts w:hint="eastAsia" w:eastAsia="仿宋_GB2312"/>
          <w:kern w:val="0"/>
          <w:sz w:val="32"/>
          <w:szCs w:val="32"/>
        </w:rPr>
        <w:t>按第一作者</w:t>
      </w:r>
      <w:r>
        <w:rPr>
          <w:rFonts w:eastAsia="仿宋_GB2312"/>
          <w:kern w:val="0"/>
          <w:sz w:val="32"/>
          <w:szCs w:val="32"/>
        </w:rPr>
        <w:t>30%</w:t>
      </w:r>
      <w:r>
        <w:rPr>
          <w:rFonts w:hint="eastAsia" w:eastAsia="仿宋_GB2312"/>
          <w:kern w:val="0"/>
          <w:sz w:val="32"/>
          <w:szCs w:val="32"/>
        </w:rPr>
        <w:t>赋分。</w:t>
      </w:r>
      <w:r>
        <w:rPr>
          <w:rFonts w:hint="eastAsia" w:eastAsia="仿宋_GB2312"/>
          <w:kern w:val="0"/>
          <w:sz w:val="32"/>
          <w:szCs w:val="32"/>
          <w:lang w:eastAsia="zh-CN"/>
        </w:rPr>
        <w:t>（</w:t>
      </w:r>
      <w:r>
        <w:rPr>
          <w:rFonts w:hint="eastAsia" w:eastAsia="仿宋_GB2312"/>
          <w:kern w:val="0"/>
          <w:sz w:val="32"/>
          <w:szCs w:val="32"/>
          <w:lang w:val="en-US" w:eastAsia="zh-CN"/>
        </w:rPr>
        <w:t>3）和学生共同一作，参评者按共一人数平分第一作者分数，</w:t>
      </w:r>
      <w:r>
        <w:rPr>
          <w:rFonts w:hint="eastAsia" w:eastAsia="仿宋_GB2312"/>
          <w:color w:val="auto"/>
          <w:kern w:val="0"/>
          <w:sz w:val="32"/>
          <w:szCs w:val="32"/>
        </w:rPr>
        <w:t>且不参评的作者分数不得转移</w:t>
      </w:r>
      <w:r>
        <w:rPr>
          <w:rFonts w:hint="eastAsia" w:eastAsia="仿宋_GB2312"/>
          <w:kern w:val="0"/>
          <w:sz w:val="32"/>
          <w:szCs w:val="32"/>
          <w:lang w:val="en-US" w:eastAsia="zh-CN"/>
        </w:rPr>
        <w:t>。（4）</w:t>
      </w:r>
      <w:r>
        <w:rPr>
          <w:rFonts w:eastAsia="仿宋_GB2312"/>
          <w:kern w:val="0"/>
          <w:sz w:val="32"/>
          <w:szCs w:val="32"/>
        </w:rPr>
        <w:t>同一科研成果获多个奖项，只计最高分。</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7. 知识产权类参评成果仅限于发明专利</w:t>
      </w:r>
      <w:r>
        <w:rPr>
          <w:rFonts w:hint="eastAsia" w:eastAsia="仿宋_GB2312"/>
          <w:kern w:val="0"/>
          <w:sz w:val="32"/>
          <w:szCs w:val="32"/>
          <w:lang w:eastAsia="zh-CN"/>
        </w:rPr>
        <w:t>（</w:t>
      </w:r>
      <w:r>
        <w:rPr>
          <w:rFonts w:hint="eastAsia" w:eastAsia="仿宋_GB2312"/>
          <w:kern w:val="0"/>
          <w:sz w:val="32"/>
          <w:szCs w:val="32"/>
          <w:lang w:val="en-US" w:eastAsia="zh-CN"/>
        </w:rPr>
        <w:t>已授权）</w:t>
      </w:r>
      <w:r>
        <w:rPr>
          <w:rFonts w:eastAsia="仿宋_GB2312"/>
          <w:kern w:val="0"/>
          <w:sz w:val="32"/>
          <w:szCs w:val="32"/>
        </w:rPr>
        <w:t>，且第一申请单位需为浙江工商大学，必须要有专利证书，其他任何录用证明无效。</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8. 科研立项参评项目仅限学生科研立项，以立项文件或公示为准。省部级及以上项目参照学校高层次科研规定执行（其中省新苗12分）；厅级及以下每项按6分计；横向课题不计分。</w:t>
      </w:r>
    </w:p>
    <w:p>
      <w:pPr>
        <w:autoSpaceDE w:val="0"/>
        <w:autoSpaceDN w:val="0"/>
        <w:adjustRightInd w:val="0"/>
        <w:spacing w:line="360" w:lineRule="auto"/>
        <w:ind w:firstLine="640" w:firstLineChars="200"/>
        <w:rPr>
          <w:rFonts w:eastAsia="仿宋_GB2312"/>
          <w:kern w:val="0"/>
          <w:sz w:val="32"/>
          <w:szCs w:val="32"/>
        </w:rPr>
      </w:pPr>
      <w:r>
        <w:rPr>
          <w:rFonts w:eastAsia="仿宋_GB2312"/>
          <w:kern w:val="0"/>
          <w:sz w:val="32"/>
          <w:szCs w:val="32"/>
        </w:rPr>
        <w:t>9. 学科竞赛获奖以获奖证书为准。团队成员根据证书排名情况，按科研成果分摊系数分别赋分。</w:t>
      </w:r>
    </w:p>
    <w:p>
      <w:pPr>
        <w:pStyle w:val="6"/>
        <w:widowControl w:val="0"/>
        <w:spacing w:before="0" w:beforeAutospacing="0" w:after="0" w:afterAutospacing="0" w:line="360" w:lineRule="auto"/>
        <w:jc w:val="both"/>
        <w:rPr>
          <w:rFonts w:ascii="Times New Roman" w:hAnsi="Times New Roman" w:eastAsia="仿宋_GB2312"/>
          <w:b/>
          <w:sz w:val="32"/>
          <w:szCs w:val="32"/>
        </w:rPr>
      </w:pPr>
    </w:p>
    <w:p>
      <w:pPr>
        <w:pStyle w:val="6"/>
        <w:widowControl w:val="0"/>
        <w:spacing w:before="0" w:beforeAutospacing="0" w:after="0" w:afterAutospacing="0" w:line="360" w:lineRule="auto"/>
        <w:jc w:val="center"/>
        <w:rPr>
          <w:rFonts w:ascii="Times New Roman" w:hAnsi="Times New Roman" w:eastAsia="黑体"/>
          <w:sz w:val="32"/>
          <w:szCs w:val="32"/>
        </w:rPr>
      </w:pPr>
      <w:r>
        <w:rPr>
          <w:rFonts w:ascii="Times New Roman" w:hAnsi="Times New Roman" w:eastAsia="黑体"/>
          <w:sz w:val="32"/>
          <w:szCs w:val="32"/>
        </w:rPr>
        <w:t>第八章 附则</w:t>
      </w:r>
    </w:p>
    <w:p>
      <w:pPr>
        <w:autoSpaceDE w:val="0"/>
        <w:autoSpaceDN w:val="0"/>
        <w:adjustRightInd w:val="0"/>
        <w:spacing w:line="360" w:lineRule="auto"/>
        <w:ind w:firstLine="630" w:firstLineChars="196"/>
        <w:rPr>
          <w:rFonts w:eastAsia="仿宋_GB2312"/>
          <w:kern w:val="0"/>
          <w:sz w:val="32"/>
          <w:szCs w:val="32"/>
        </w:rPr>
      </w:pPr>
      <w:r>
        <w:rPr>
          <w:rFonts w:eastAsia="仿宋_GB2312"/>
          <w:b/>
          <w:sz w:val="32"/>
          <w:szCs w:val="32"/>
        </w:rPr>
        <w:t>第十四条</w:t>
      </w:r>
      <w:r>
        <w:rPr>
          <w:rFonts w:eastAsia="仿宋_GB2312"/>
          <w:kern w:val="0"/>
          <w:sz w:val="32"/>
          <w:szCs w:val="32"/>
        </w:rPr>
        <w:t xml:space="preserve"> 研究生综合是研究生在校期间综合素质发展的全面反映，是衡量研究生个人全面发展水平的标尺，研究生综合测评结果将作为研究生申报和评定国家奖学金、学业奖学金及其他重要荣誉的主要依据。</w:t>
      </w:r>
    </w:p>
    <w:p>
      <w:pPr>
        <w:pStyle w:val="6"/>
        <w:widowControl w:val="0"/>
        <w:spacing w:before="0" w:beforeAutospacing="0" w:after="0" w:afterAutospacing="0" w:line="360" w:lineRule="auto"/>
        <w:ind w:firstLine="643" w:firstLineChars="200"/>
        <w:jc w:val="both"/>
        <w:rPr>
          <w:rFonts w:ascii="Times New Roman" w:hAnsi="Times New Roman" w:eastAsia="仿宋_GB2312"/>
          <w:sz w:val="32"/>
          <w:szCs w:val="32"/>
        </w:rPr>
      </w:pPr>
      <w:r>
        <w:rPr>
          <w:rFonts w:ascii="Times New Roman" w:hAnsi="Times New Roman" w:eastAsia="仿宋_GB2312"/>
          <w:b/>
          <w:sz w:val="32"/>
          <w:szCs w:val="32"/>
        </w:rPr>
        <w:t>第十五条</w:t>
      </w:r>
      <w:r>
        <w:rPr>
          <w:rFonts w:ascii="Times New Roman" w:hAnsi="Times New Roman" w:eastAsia="仿宋_GB2312"/>
          <w:sz w:val="32"/>
          <w:szCs w:val="32"/>
        </w:rPr>
        <w:t xml:space="preserve"> 本办法由</w:t>
      </w:r>
      <w:r>
        <w:rPr>
          <w:rFonts w:hint="eastAsia" w:ascii="Times New Roman" w:hAnsi="Times New Roman" w:eastAsia="仿宋_GB2312"/>
          <w:sz w:val="32"/>
          <w:szCs w:val="32"/>
        </w:rPr>
        <w:t>学院</w:t>
      </w:r>
      <w:r>
        <w:rPr>
          <w:rFonts w:ascii="Times New Roman" w:hAnsi="Times New Roman" w:eastAsia="仿宋_GB2312"/>
          <w:sz w:val="32"/>
          <w:szCs w:val="32"/>
        </w:rPr>
        <w:t>研究生综合测评领导小组负责解释。</w:t>
      </w:r>
    </w:p>
    <w:p>
      <w:pPr>
        <w:pStyle w:val="6"/>
        <w:widowControl w:val="0"/>
        <w:spacing w:before="0" w:beforeAutospacing="0" w:after="0" w:afterAutospacing="0" w:line="360" w:lineRule="auto"/>
        <w:ind w:firstLine="643" w:firstLineChars="200"/>
        <w:jc w:val="both"/>
        <w:rPr>
          <w:rFonts w:ascii="Times New Roman" w:hAnsi="Times New Roman" w:eastAsia="仿宋_GB2312"/>
          <w:sz w:val="32"/>
          <w:szCs w:val="32"/>
        </w:rPr>
      </w:pPr>
      <w:r>
        <w:rPr>
          <w:rFonts w:ascii="Times New Roman" w:hAnsi="Times New Roman" w:eastAsia="仿宋_GB2312"/>
          <w:b/>
          <w:sz w:val="32"/>
          <w:szCs w:val="32"/>
        </w:rPr>
        <w:t>第十六条</w:t>
      </w:r>
      <w:r>
        <w:rPr>
          <w:rFonts w:ascii="Times New Roman" w:hAnsi="Times New Roman" w:eastAsia="仿宋_GB2312"/>
          <w:sz w:val="32"/>
          <w:szCs w:val="32"/>
        </w:rPr>
        <w:t xml:space="preserve"> 本办法自</w:t>
      </w:r>
      <w:r>
        <w:rPr>
          <w:rFonts w:hint="eastAsia" w:ascii="Times New Roman" w:hAnsi="Times New Roman" w:eastAsia="仿宋_GB2312"/>
          <w:sz w:val="32"/>
          <w:szCs w:val="32"/>
        </w:rPr>
        <w:t>发布之日</w:t>
      </w:r>
      <w:r>
        <w:rPr>
          <w:rFonts w:ascii="Times New Roman" w:hAnsi="Times New Roman" w:eastAsia="仿宋_GB2312"/>
          <w:sz w:val="32"/>
          <w:szCs w:val="32"/>
        </w:rPr>
        <w:t>起施行。</w:t>
      </w:r>
    </w:p>
    <w:p>
      <w:pPr>
        <w:spacing w:line="560" w:lineRule="exact"/>
        <w:rPr>
          <w:rFonts w:ascii="仿宋_GB2312" w:eastAsia="仿宋_GB2312"/>
          <w:sz w:val="32"/>
          <w:szCs w:val="32"/>
        </w:rPr>
      </w:pPr>
    </w:p>
    <w:p>
      <w:pPr>
        <w:spacing w:line="560" w:lineRule="exact"/>
        <w:rPr>
          <w:rFonts w:ascii="仿宋_GB2312" w:eastAsia="仿宋_GB2312"/>
          <w:sz w:val="32"/>
          <w:szCs w:val="32"/>
        </w:rPr>
      </w:pPr>
      <w:bookmarkStart w:id="0" w:name="_GoBack"/>
      <w:bookmarkEnd w:id="0"/>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sectPr>
      <w:pgSz w:w="11906" w:h="16838"/>
      <w:pgMar w:top="1157" w:right="1576" w:bottom="1157"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DF4209"/>
    <w:multiLevelType w:val="singleLevel"/>
    <w:tmpl w:val="E0DF420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4YmNhMDUwODY5NzE2MWNiY2IyZDQ0N2Y4YjYzMmQifQ=="/>
    <w:docVar w:name="KSO_WPS_MARK_KEY" w:val="06e0d328-4220-4929-bdfd-e48f4fef5604"/>
  </w:docVars>
  <w:rsids>
    <w:rsidRoot w:val="00884950"/>
    <w:rsid w:val="00164A21"/>
    <w:rsid w:val="001E0B00"/>
    <w:rsid w:val="0024321F"/>
    <w:rsid w:val="003871D4"/>
    <w:rsid w:val="003D4FC9"/>
    <w:rsid w:val="003E1677"/>
    <w:rsid w:val="0042240A"/>
    <w:rsid w:val="004B32F9"/>
    <w:rsid w:val="0055504A"/>
    <w:rsid w:val="00564BD9"/>
    <w:rsid w:val="005919BB"/>
    <w:rsid w:val="005A3103"/>
    <w:rsid w:val="005C670D"/>
    <w:rsid w:val="00700FB4"/>
    <w:rsid w:val="00762E00"/>
    <w:rsid w:val="007C78C6"/>
    <w:rsid w:val="00884950"/>
    <w:rsid w:val="00897D43"/>
    <w:rsid w:val="008C1154"/>
    <w:rsid w:val="00976009"/>
    <w:rsid w:val="00A05C5B"/>
    <w:rsid w:val="00B05ED9"/>
    <w:rsid w:val="00B2622A"/>
    <w:rsid w:val="00D452D2"/>
    <w:rsid w:val="00DC1046"/>
    <w:rsid w:val="00E46713"/>
    <w:rsid w:val="00E9379D"/>
    <w:rsid w:val="00ED402F"/>
    <w:rsid w:val="00EF035A"/>
    <w:rsid w:val="00F007B1"/>
    <w:rsid w:val="00F86567"/>
    <w:rsid w:val="033779E6"/>
    <w:rsid w:val="041A0E14"/>
    <w:rsid w:val="095433F9"/>
    <w:rsid w:val="096B2A86"/>
    <w:rsid w:val="105E72D6"/>
    <w:rsid w:val="138E3B4E"/>
    <w:rsid w:val="2B1135DB"/>
    <w:rsid w:val="2D2222DE"/>
    <w:rsid w:val="2FCC739D"/>
    <w:rsid w:val="3AE67D3D"/>
    <w:rsid w:val="3D412BD6"/>
    <w:rsid w:val="3F7222BF"/>
    <w:rsid w:val="413D7631"/>
    <w:rsid w:val="41C57B39"/>
    <w:rsid w:val="47890FD2"/>
    <w:rsid w:val="665910FF"/>
    <w:rsid w:val="6AA4703A"/>
    <w:rsid w:val="7648028D"/>
    <w:rsid w:val="789B23B2"/>
    <w:rsid w:val="7A7A2E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宋体"/>
      <w:kern w:val="0"/>
      <w:sz w:val="24"/>
    </w:rPr>
  </w:style>
  <w:style w:type="paragraph" w:styleId="3">
    <w:name w:val="Date"/>
    <w:basedOn w:val="1"/>
    <w:next w:val="1"/>
    <w:link w:val="11"/>
    <w:semiHidden/>
    <w:unhideWhenUsed/>
    <w:qFormat/>
    <w:uiPriority w:val="99"/>
    <w:pPr>
      <w:ind w:left="100" w:leftChars="2500"/>
    </w:pPr>
  </w:style>
  <w:style w:type="paragraph" w:styleId="4">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日期 Char"/>
    <w:basedOn w:val="8"/>
    <w:link w:val="3"/>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5910</Words>
  <Characters>6142</Characters>
  <Lines>3</Lines>
  <Paragraphs>1</Paragraphs>
  <TotalTime>5</TotalTime>
  <ScaleCrop>false</ScaleCrop>
  <LinksUpToDate>false</LinksUpToDate>
  <CharactersWithSpaces>6222</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2023-02-24T06:25:00Z</dcterms:created>
  <dc:creator>lenovo</dc:creator>
  <cp:lastModifiedBy>Yee</cp:lastModifiedBy>
  <dcterms:modified xsi:type="dcterms:W3CDTF">2024-04-01T06:14:15Z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1234564223A2464992056A847EC5A477</vt:lpwstr>
  </property>
</Properties>
</file>