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bCs/>
          <w:color w:val="333333"/>
          <w:sz w:val="28"/>
          <w:szCs w:val="28"/>
          <w:shd w:val="clear" w:color="auto" w:fill="FFFFFF"/>
        </w:rPr>
        <w:t>关于教师教学工作业绩考核办法具体操作说明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根据《浙江工商大学关于修订教师教学工作业绩考核办法的通知》（浙商大教〔2014〕226号）的规定，学院根据实际情况自行规定考核指标以及具体的分值，具体说明如下：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    一、教学工作量指教师完成绩效聘岗额定任务的比例，指本科</w:t>
      </w:r>
      <w:bookmarkStart w:id="0" w:name="_GoBack"/>
      <w:bookmarkEnd w:id="0"/>
      <w:r>
        <w:rPr>
          <w:rFonts w:hint="eastAsia"/>
          <w:sz w:val="24"/>
          <w:szCs w:val="24"/>
        </w:rPr>
        <w:t>教学和实验教学的工作量。</w:t>
      </w:r>
    </w:p>
    <w:p>
      <w:pPr>
        <w:ind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    二、评估分：参照教务处下发的原始评教分，学院先进行年级调整，使不同年级所有教师的平均评教分相等，再对同一教师不同年级（或不同课程）的评教分进行加权平均，根据教师的加权平均分进行排序。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     三、所有材料须署名“浙江工商大学”为第一单位，非第一单位业绩，则降一级计分。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 四、</w:t>
      </w:r>
      <w:r>
        <w:rPr>
          <w:rFonts w:hint="eastAsia"/>
          <w:sz w:val="24"/>
          <w:szCs w:val="24"/>
          <w:highlight w:val="yellow"/>
        </w:rPr>
        <w:t>同一观测点同一级别或不同级别获多项业绩时，可累计计分，但累计分不超过上一级别的满分</w:t>
      </w:r>
      <w:r>
        <w:rPr>
          <w:rFonts w:hint="eastAsia"/>
          <w:sz w:val="24"/>
          <w:szCs w:val="24"/>
        </w:rPr>
        <w:t>，并对全体教师统一排序，排名≦20%为a，20%﹤排名≦40%为b，40%﹤排名≦60%为c，60%﹤排名≦80%为d，排名﹥80%为e，无业绩不得分。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五、</w:t>
      </w:r>
      <w:r>
        <w:rPr>
          <w:rFonts w:hint="eastAsia"/>
          <w:sz w:val="24"/>
          <w:szCs w:val="24"/>
          <w:highlight w:val="yellow"/>
        </w:rPr>
        <w:t>如学校A类竞赛或挑战杯获省一等奖以上的指导教师，指导学生参加各类学科竞赛和学术科技类竞赛获奖情况等2个观测点得满分。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  六、材料适用日期为上年的9月1日至当年8月31日，不在适用期限内的业绩不予认可。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七、由多人共同承担完成的指导学生获奖情况、教学建设与研究项目、教学改革与研究成果、教育教学研究论文（论著、教材）、教学改革获奖等5项指标，参与人的材料由主持人提供，参与人排列不分先后。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   八、教育教学研究论文发表的期刊级别以刊物所标示的级别为准，且刊号能在中国知网（http://www.cnki.net/）查询得到的ISBN/ISSN一致。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   九、指导学生获奖情况、教书育人方面奖惩情况和教学改革与研究的奖励等3项指标，以</w:t>
      </w:r>
      <w:r>
        <w:rPr>
          <w:rFonts w:hint="eastAsia"/>
          <w:sz w:val="24"/>
          <w:szCs w:val="24"/>
          <w:highlight w:val="yellow"/>
        </w:rPr>
        <w:t>获奖发文（或证书上所标示）的时间</w:t>
      </w:r>
      <w:r>
        <w:rPr>
          <w:rFonts w:hint="eastAsia"/>
          <w:sz w:val="24"/>
          <w:szCs w:val="24"/>
        </w:rPr>
        <w:t>为准；教学建设与研究项目，以</w:t>
      </w:r>
      <w:r>
        <w:rPr>
          <w:rFonts w:hint="eastAsia"/>
          <w:sz w:val="24"/>
          <w:szCs w:val="24"/>
          <w:highlight w:val="yellow"/>
        </w:rPr>
        <w:t>立项时间</w:t>
      </w:r>
      <w:r>
        <w:rPr>
          <w:rFonts w:hint="eastAsia"/>
          <w:sz w:val="24"/>
          <w:szCs w:val="24"/>
        </w:rPr>
        <w:t>为准；教学研究论文论著（教材），以</w:t>
      </w:r>
      <w:r>
        <w:rPr>
          <w:rFonts w:hint="eastAsia"/>
          <w:sz w:val="24"/>
          <w:szCs w:val="24"/>
          <w:highlight w:val="yellow"/>
        </w:rPr>
        <w:t>发表（出版）时间</w:t>
      </w:r>
      <w:r>
        <w:rPr>
          <w:rFonts w:hint="eastAsia"/>
          <w:sz w:val="24"/>
          <w:szCs w:val="24"/>
        </w:rPr>
        <w:t>为准。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   十、教师工作业绩考核等级按教师各观测点得分总和排序，B级（含）以上比例不超过当学年学院参加考核教师人数的70%，其中A级比例不超过20%；C级、D级和E级的比例根据学院实际情况确定。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 十一、如出现同分，首先按指导学生参加各类学科竞赛、个人荣誉获奖、教学建设与研究项目获奖、教学研究论文论著（教材）、教学改革与研究等5个单项指标获a级数量多少排序，a级相同则看b级数量，依此类推。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 十二、由学院认定的重大教学改革（奖励）等主持人可直接认定为学年考核A等。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 十三、对学生反应问题较多的教师，经学院集体听课情况属实，可定为D等及以下。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 十四、按学校文件规定，教师在教学中出现下列情况之一时，将直接认定考核等级为E。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      （一）评估分低于70分或同一学年连续两学期评估分低于75分；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      （二）出现严重、重大教学事故的；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     （三）在课堂上发表不当言论，造成重大负面影响的。</w:t>
      </w:r>
    </w:p>
    <w:p>
      <w:pPr>
        <w:ind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十五、科研和学科建设等所取得的业绩，不属于本次考核范围内容。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十六、以上经系室主任会议讨论修改，学院党政联席会议讨论通过后于2015年执行。</w:t>
      </w:r>
    </w:p>
    <w:p>
      <w:pPr>
        <w:ind w:firstLine="480" w:firstLineChars="200"/>
      </w:pPr>
      <w:r>
        <w:rPr>
          <w:rFonts w:hint="eastAsia"/>
          <w:sz w:val="24"/>
          <w:szCs w:val="24"/>
        </w:rPr>
        <w:t> 十七、本说明由学院办公室负责解释，并报教务处备案。</w:t>
      </w:r>
      <w:r>
        <w:rPr>
          <w:rFonts w:hint="eastAsia"/>
        </w:rPr>
        <w:t>  </w:t>
      </w:r>
    </w:p>
    <w:p>
      <w:pPr>
        <w:jc w:val="right"/>
      </w:pPr>
    </w:p>
    <w:sectPr>
      <w:pgSz w:w="11906" w:h="16838"/>
      <w:pgMar w:top="1021" w:right="1418" w:bottom="102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ED1"/>
    <w:rsid w:val="000369B2"/>
    <w:rsid w:val="00204EEE"/>
    <w:rsid w:val="00371ED1"/>
    <w:rsid w:val="00466FBF"/>
    <w:rsid w:val="004923BD"/>
    <w:rsid w:val="004B7204"/>
    <w:rsid w:val="0053618A"/>
    <w:rsid w:val="00637F55"/>
    <w:rsid w:val="0069576B"/>
    <w:rsid w:val="007C595B"/>
    <w:rsid w:val="00B36303"/>
    <w:rsid w:val="00B56F39"/>
    <w:rsid w:val="00B65F02"/>
    <w:rsid w:val="00BF2F44"/>
    <w:rsid w:val="00C5116A"/>
    <w:rsid w:val="00E71A6F"/>
    <w:rsid w:val="4EB74DAB"/>
    <w:rsid w:val="79CA41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apple-converted-space"/>
    <w:basedOn w:val="5"/>
    <w:qFormat/>
    <w:uiPriority w:val="0"/>
  </w:style>
  <w:style w:type="character" w:customStyle="1" w:styleId="8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1106</Characters>
  <Lines>9</Lines>
  <Paragraphs>2</Paragraphs>
  <TotalTime>16</TotalTime>
  <ScaleCrop>false</ScaleCrop>
  <LinksUpToDate>false</LinksUpToDate>
  <CharactersWithSpaces>1298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2016-09-13T07:38:00Z</dcterms:created>
  <dc:creator>DHG</dc:creator>
  <cp:lastModifiedBy>咚咚咚</cp:lastModifiedBy>
  <cp:lastPrinted>2021-09-26T05:52:00Z</cp:lastPrinted>
  <dcterms:modified xsi:type="dcterms:W3CDTF">2024-09-24T08:24:53Z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